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0" w:lineRule="atLeast"/>
        <w:rPr>
          <w:rFonts w:hint="eastAsia" w:eastAsia="黑体"/>
          <w:bCs/>
          <w:sz w:val="48"/>
          <w:szCs w:val="48"/>
          <w:highlight w:val="none"/>
        </w:rPr>
      </w:pPr>
    </w:p>
    <w:p>
      <w:pPr>
        <w:adjustRightInd w:val="0"/>
        <w:snapToGrid w:val="0"/>
        <w:spacing w:line="0" w:lineRule="atLeast"/>
        <w:rPr>
          <w:rFonts w:hint="eastAsia" w:eastAsia="黑体"/>
          <w:bCs/>
          <w:sz w:val="48"/>
          <w:szCs w:val="48"/>
          <w:highlight w:val="none"/>
        </w:rPr>
      </w:pPr>
    </w:p>
    <w:p>
      <w:pPr>
        <w:adjustRightInd w:val="0"/>
        <w:snapToGrid w:val="0"/>
        <w:spacing w:line="0" w:lineRule="atLeast"/>
        <w:rPr>
          <w:rFonts w:hint="eastAsia" w:eastAsia="黑体"/>
          <w:bCs/>
          <w:sz w:val="48"/>
          <w:szCs w:val="48"/>
          <w:highlight w:val="none"/>
        </w:rPr>
      </w:pPr>
    </w:p>
    <w:p>
      <w:pPr>
        <w:adjustRightInd w:val="0"/>
        <w:snapToGrid w:val="0"/>
        <w:spacing w:line="0" w:lineRule="atLeast"/>
        <w:rPr>
          <w:rFonts w:eastAsia="黑体"/>
          <w:bCs/>
          <w:sz w:val="48"/>
          <w:szCs w:val="48"/>
          <w:highlight w:val="none"/>
        </w:rPr>
      </w:pPr>
    </w:p>
    <w:p>
      <w:pPr>
        <w:pStyle w:val="21"/>
        <w:spacing w:line="800" w:lineRule="atLeast"/>
        <w:outlineLvl w:val="0"/>
        <w:rPr>
          <w:rFonts w:hint="default" w:eastAsia="黑体"/>
          <w:b/>
          <w:sz w:val="48"/>
          <w:szCs w:val="48"/>
          <w:lang w:val="en-US" w:eastAsia="zh-CN"/>
        </w:rPr>
      </w:pPr>
      <w:bookmarkStart w:id="0" w:name="_Toc31629"/>
      <w:bookmarkStart w:id="1" w:name="_Toc16686"/>
      <w:bookmarkStart w:id="2" w:name="_Toc14665"/>
      <w:r>
        <w:rPr>
          <w:rFonts w:hint="eastAsia" w:eastAsia="黑体"/>
          <w:color w:val="000000"/>
          <w:spacing w:val="-10"/>
          <w:kern w:val="0"/>
          <w:sz w:val="48"/>
          <w:szCs w:val="48"/>
        </w:rPr>
        <w:t>丰顺县建桥镇</w:t>
      </w:r>
      <w:bookmarkStart w:id="24" w:name="_GoBack"/>
      <w:bookmarkEnd w:id="24"/>
      <w:r>
        <w:rPr>
          <w:rFonts w:hint="eastAsia"/>
          <w:sz w:val="48"/>
          <w:szCs w:val="48"/>
          <w:lang w:val="en-US" w:eastAsia="zh-CN"/>
        </w:rPr>
        <w:t>洋坑水库除险加固工程</w:t>
      </w:r>
      <w:bookmarkEnd w:id="0"/>
      <w:bookmarkEnd w:id="1"/>
      <w:bookmarkEnd w:id="2"/>
    </w:p>
    <w:p>
      <w:pPr>
        <w:pStyle w:val="21"/>
        <w:spacing w:line="800" w:lineRule="atLeast"/>
        <w:rPr>
          <w:sz w:val="48"/>
          <w:szCs w:val="48"/>
        </w:rPr>
      </w:pPr>
      <w:r>
        <w:rPr>
          <w:sz w:val="48"/>
          <w:szCs w:val="48"/>
        </w:rPr>
        <w:t>初步设计报告</w:t>
      </w:r>
    </w:p>
    <w:p>
      <w:pPr>
        <w:pStyle w:val="22"/>
        <w:ind w:firstLine="480"/>
      </w:pPr>
    </w:p>
    <w:p>
      <w:pPr>
        <w:pStyle w:val="21"/>
      </w:pPr>
    </w:p>
    <w:p>
      <w:pPr>
        <w:pStyle w:val="21"/>
      </w:pPr>
    </w:p>
    <w:p>
      <w:pPr>
        <w:pStyle w:val="21"/>
      </w:pPr>
    </w:p>
    <w:p>
      <w:pPr>
        <w:pStyle w:val="21"/>
        <w:outlineLvl w:val="0"/>
        <w:rPr>
          <w:rFonts w:hint="eastAsia" w:eastAsia="黑体"/>
          <w:sz w:val="36"/>
          <w:lang w:eastAsia="zh-CN"/>
        </w:rPr>
      </w:pPr>
      <w:bookmarkStart w:id="3" w:name="_Toc14500"/>
      <w:bookmarkStart w:id="4" w:name="_Toc14826"/>
      <w:bookmarkStart w:id="5" w:name="_Toc27672"/>
      <w:r>
        <w:rPr>
          <w:rFonts w:hint="eastAsia"/>
          <w:b/>
          <w:sz w:val="36"/>
          <w:lang w:val="en-US" w:eastAsia="zh-CN"/>
        </w:rPr>
        <w:t>14</w:t>
      </w:r>
      <w:bookmarkEnd w:id="3"/>
      <w:bookmarkEnd w:id="4"/>
      <w:bookmarkEnd w:id="5"/>
      <w:r>
        <w:rPr>
          <w:rFonts w:hint="eastAsia"/>
          <w:sz w:val="36"/>
          <w:lang w:eastAsia="zh-CN"/>
        </w:rPr>
        <w:t>工程信息化</w:t>
      </w:r>
    </w:p>
    <w:p>
      <w:pPr>
        <w:spacing w:line="500" w:lineRule="atLeast"/>
        <w:jc w:val="center"/>
        <w:rPr>
          <w:sz w:val="24"/>
          <w:highlight w:val="none"/>
        </w:rPr>
      </w:pPr>
    </w:p>
    <w:p>
      <w:pPr>
        <w:spacing w:line="500" w:lineRule="atLeast"/>
        <w:jc w:val="center"/>
        <w:rPr>
          <w:sz w:val="24"/>
          <w:highlight w:val="none"/>
        </w:rPr>
      </w:pPr>
    </w:p>
    <w:p>
      <w:pPr>
        <w:spacing w:line="500" w:lineRule="atLeast"/>
        <w:jc w:val="center"/>
        <w:rPr>
          <w:highlight w:val="none"/>
        </w:rPr>
      </w:pPr>
    </w:p>
    <w:p>
      <w:pPr>
        <w:spacing w:line="500" w:lineRule="atLeast"/>
        <w:jc w:val="center"/>
        <w:rPr>
          <w:highlight w:val="none"/>
        </w:rPr>
      </w:pPr>
    </w:p>
    <w:p>
      <w:pPr>
        <w:spacing w:line="500" w:lineRule="atLeast"/>
        <w:jc w:val="center"/>
        <w:rPr>
          <w:highlight w:val="none"/>
        </w:rPr>
      </w:pPr>
    </w:p>
    <w:p>
      <w:pPr>
        <w:spacing w:line="500" w:lineRule="atLeast"/>
        <w:jc w:val="center"/>
        <w:rPr>
          <w:highlight w:val="none"/>
        </w:rPr>
      </w:pPr>
    </w:p>
    <w:p>
      <w:pPr>
        <w:spacing w:line="500" w:lineRule="atLeast"/>
        <w:jc w:val="center"/>
        <w:rPr>
          <w:highlight w:val="none"/>
        </w:rPr>
      </w:pPr>
    </w:p>
    <w:p>
      <w:pPr>
        <w:spacing w:line="500" w:lineRule="atLeast"/>
        <w:jc w:val="center"/>
        <w:rPr>
          <w:highlight w:val="none"/>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sectPr>
          <w:pgSz w:w="11906" w:h="16838"/>
          <w:pgMar w:top="1440" w:right="1800" w:bottom="1440" w:left="1800" w:header="851" w:footer="992" w:gutter="0"/>
          <w:pgNumType w:fmt="decimal"/>
          <w:cols w:space="425" w:num="1"/>
          <w:docGrid w:type="lines" w:linePitch="312" w:charSpace="0"/>
        </w:sectPr>
      </w:pPr>
    </w:p>
    <w:sdt>
      <w:sdtPr>
        <w:rPr>
          <w:rFonts w:ascii="宋体" w:hAnsi="宋体" w:eastAsia="宋体" w:cs="Times New Roman"/>
          <w:kern w:val="2"/>
          <w:sz w:val="21"/>
          <w:szCs w:val="24"/>
          <w:lang w:val="en-US" w:eastAsia="zh-CN" w:bidi="ar-SA"/>
        </w:rPr>
        <w:id w:val="104767400"/>
        <w:docPartObj>
          <w:docPartGallery w:val="Table of Contents"/>
          <w:docPartUnique/>
        </w:docPartObj>
      </w:sdtPr>
      <w:sdtEndPr>
        <w:rPr>
          <w:rFonts w:ascii="宋体" w:hAnsi="宋体" w:eastAsia="宋体" w:cs="Times New Roman"/>
          <w:kern w:val="2"/>
          <w:sz w:val="20"/>
          <w:szCs w:val="20"/>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32"/>
              <w:szCs w:val="32"/>
            </w:rPr>
          </w:pPr>
          <w:bookmarkStart w:id="6" w:name="_Toc1062362101_WPSOffice_Type1"/>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p>
        <w:p>
          <w:pPr>
            <w:pStyle w:val="29"/>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_Toc346957905_WPSOffice_Level1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104767400"/>
              <w:placeholder>
                <w:docPart w:val="{c894e912-8d41-4889-896e-3f49e7ba1c20}"/>
              </w:placeholder>
              <w:showingPlcHd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color w:val="808080"/>
                  <w:sz w:val="28"/>
                  <w:szCs w:val="28"/>
                </w:rPr>
                <w:t>单击此处输入文字。</w:t>
              </w:r>
            </w:sdtContent>
          </w:sdt>
          <w:r>
            <w:rPr>
              <w:rFonts w:hint="eastAsia" w:asciiTheme="minorEastAsia" w:hAnsiTheme="minorEastAsia" w:eastAsiaTheme="minorEastAsia" w:cstheme="minorEastAsia"/>
              <w:sz w:val="28"/>
              <w:szCs w:val="28"/>
            </w:rPr>
            <w:fldChar w:fldCharType="end"/>
          </w:r>
        </w:p>
        <w:p>
          <w:pPr>
            <w:pStyle w:val="29"/>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_Toc1062362101_WPSOffice_Level1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104767400"/>
              <w:placeholder>
                <w:docPart w:val="{ba90ce03-8385-4738-998c-906360bf43da}"/>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14.1概述</w:t>
              </w:r>
            </w:sdtContent>
          </w:sdt>
          <w:r>
            <w:rPr>
              <w:rFonts w:hint="eastAsia" w:asciiTheme="minorEastAsia" w:hAnsiTheme="minorEastAsia" w:eastAsiaTheme="minorEastAsia" w:cstheme="minorEastAsia"/>
              <w:sz w:val="28"/>
              <w:szCs w:val="28"/>
            </w:rPr>
            <w:tab/>
          </w:r>
          <w:bookmarkStart w:id="7" w:name="_Toc1062362101_WPSOffice_Level1Page"/>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1</w:t>
          </w:r>
          <w:bookmarkEnd w:id="7"/>
          <w:r>
            <w:rPr>
              <w:rFonts w:hint="eastAsia" w:asciiTheme="minorEastAsia" w:hAnsiTheme="minorEastAsia" w:eastAsiaTheme="minorEastAsia" w:cstheme="minorEastAsia"/>
              <w:sz w:val="28"/>
              <w:szCs w:val="28"/>
            </w:rPr>
            <w:fldChar w:fldCharType="end"/>
          </w:r>
        </w:p>
        <w:p>
          <w:pPr>
            <w:pStyle w:val="29"/>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_Toc579155636_WPSOffice_Level1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104767400"/>
              <w:placeholder>
                <w:docPart w:val="{cff9e93b-7aca-402f-86ed-7af615583421}"/>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14.2需求分析</w:t>
              </w:r>
            </w:sdtContent>
          </w:sdt>
          <w:r>
            <w:rPr>
              <w:rFonts w:hint="eastAsia" w:asciiTheme="minorEastAsia" w:hAnsiTheme="minorEastAsia" w:eastAsiaTheme="minorEastAsia" w:cstheme="minorEastAsia"/>
              <w:sz w:val="28"/>
              <w:szCs w:val="28"/>
            </w:rPr>
            <w:tab/>
          </w:r>
          <w:bookmarkStart w:id="8" w:name="_Toc579155636_WPSOffice_Level1Page"/>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3</w:t>
          </w:r>
          <w:bookmarkEnd w:id="8"/>
          <w:r>
            <w:rPr>
              <w:rFonts w:hint="eastAsia" w:asciiTheme="minorEastAsia" w:hAnsiTheme="minorEastAsia" w:eastAsiaTheme="minorEastAsia" w:cstheme="minorEastAsia"/>
              <w:sz w:val="28"/>
              <w:szCs w:val="28"/>
            </w:rPr>
            <w:fldChar w:fldCharType="end"/>
          </w:r>
        </w:p>
        <w:p>
          <w:pPr>
            <w:pStyle w:val="29"/>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_Toc1114716637_WPSOffice_Level1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104767400"/>
              <w:placeholder>
                <w:docPart w:val="{84d051e6-3b53-484a-a002-735b5de83d99}"/>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14.3总体设计</w:t>
              </w:r>
            </w:sdtContent>
          </w:sdt>
          <w:r>
            <w:rPr>
              <w:rFonts w:hint="eastAsia" w:asciiTheme="minorEastAsia" w:hAnsiTheme="minorEastAsia" w:eastAsiaTheme="minorEastAsia" w:cstheme="minorEastAsia"/>
              <w:sz w:val="28"/>
              <w:szCs w:val="28"/>
            </w:rPr>
            <w:tab/>
          </w:r>
          <w:bookmarkStart w:id="9" w:name="_Toc1114716637_WPSOffice_Level1Page"/>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4</w:t>
          </w:r>
          <w:bookmarkEnd w:id="9"/>
          <w:r>
            <w:rPr>
              <w:rFonts w:hint="eastAsia" w:asciiTheme="minorEastAsia" w:hAnsiTheme="minorEastAsia" w:eastAsiaTheme="minorEastAsia" w:cstheme="minorEastAsia"/>
              <w:sz w:val="28"/>
              <w:szCs w:val="28"/>
            </w:rPr>
            <w:fldChar w:fldCharType="end"/>
          </w:r>
        </w:p>
        <w:p>
          <w:pPr>
            <w:pStyle w:val="29"/>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_Toc1888688235_WPSOffice_Level1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104767400"/>
              <w:placeholder>
                <w:docPart w:val="{ad6a0a6c-8f7f-481b-bd2b-41c6af787b91}"/>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14.4分项设计</w:t>
              </w:r>
            </w:sdtContent>
          </w:sdt>
          <w:r>
            <w:rPr>
              <w:rFonts w:hint="eastAsia" w:asciiTheme="minorEastAsia" w:hAnsiTheme="minorEastAsia" w:eastAsiaTheme="minorEastAsia" w:cstheme="minorEastAsia"/>
              <w:sz w:val="28"/>
              <w:szCs w:val="28"/>
            </w:rPr>
            <w:tab/>
          </w:r>
          <w:bookmarkStart w:id="10" w:name="_Toc1888688235_WPSOffice_Level1Page"/>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4</w:t>
          </w:r>
          <w:bookmarkEnd w:id="10"/>
          <w:r>
            <w:rPr>
              <w:rFonts w:hint="eastAsia" w:asciiTheme="minorEastAsia" w:hAnsiTheme="minorEastAsia" w:eastAsiaTheme="minorEastAsia" w:cstheme="minorEastAsia"/>
              <w:sz w:val="28"/>
              <w:szCs w:val="28"/>
            </w:rPr>
            <w:fldChar w:fldCharType="end"/>
          </w:r>
        </w:p>
        <w:p>
          <w:pPr>
            <w:pStyle w:val="29"/>
            <w:tabs>
              <w:tab w:val="right" w:leader="dot" w:pos="8306"/>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_Toc1316873402_WPSOffice_Level1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104767400"/>
              <w:placeholder>
                <w:docPart w:val="{b388c898-23cb-4a08-a44b-9843760bcc62}"/>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14.5网络信息安全</w:t>
              </w:r>
            </w:sdtContent>
          </w:sdt>
          <w:r>
            <w:rPr>
              <w:rFonts w:hint="eastAsia" w:asciiTheme="minorEastAsia" w:hAnsiTheme="minorEastAsia" w:eastAsiaTheme="minorEastAsia" w:cstheme="minorEastAsia"/>
              <w:sz w:val="28"/>
              <w:szCs w:val="28"/>
            </w:rPr>
            <w:tab/>
          </w:r>
          <w:bookmarkStart w:id="11" w:name="_Toc1316873402_WPSOffice_Level1Page"/>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9</w:t>
          </w:r>
          <w:bookmarkEnd w:id="11"/>
          <w:r>
            <w:rPr>
              <w:rFonts w:hint="eastAsia" w:asciiTheme="minorEastAsia" w:hAnsiTheme="minorEastAsia" w:eastAsiaTheme="minorEastAsia" w:cstheme="minorEastAsia"/>
              <w:sz w:val="28"/>
              <w:szCs w:val="28"/>
            </w:rPr>
            <w:fldChar w:fldCharType="end"/>
          </w:r>
        </w:p>
        <w:p>
          <w:pPr>
            <w:pStyle w:val="29"/>
            <w:tabs>
              <w:tab w:val="right" w:leader="dot" w:pos="8306"/>
            </w:tabs>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_Toc1452677359_WPSOffice_Level1 </w:instrText>
          </w:r>
          <w:r>
            <w:rPr>
              <w:rFonts w:hint="eastAsia" w:asciiTheme="minorEastAsia" w:hAnsiTheme="minorEastAsia" w:eastAsiaTheme="minorEastAsia" w:cstheme="minorEastAsia"/>
              <w:sz w:val="28"/>
              <w:szCs w:val="28"/>
            </w:rPr>
            <w:fldChar w:fldCharType="separate"/>
          </w:r>
          <w:sdt>
            <w:sdtPr>
              <w:rPr>
                <w:rFonts w:hint="eastAsia" w:asciiTheme="minorEastAsia" w:hAnsiTheme="minorEastAsia" w:eastAsiaTheme="minorEastAsia" w:cstheme="minorEastAsia"/>
                <w:kern w:val="2"/>
                <w:sz w:val="28"/>
                <w:szCs w:val="28"/>
                <w:lang w:val="en-US" w:eastAsia="zh-CN" w:bidi="ar-SA"/>
              </w:rPr>
              <w:id w:val="104767400"/>
              <w:placeholder>
                <w:docPart w:val="{84341354-301c-4a9b-a22b-72ac09a0d62f}"/>
              </w:placeholder>
            </w:sdtPr>
            <w:sdtEndPr>
              <w:rPr>
                <w:rFonts w:hint="eastAsia" w:asciiTheme="minorEastAsia" w:hAnsiTheme="minorEastAsia" w:eastAsiaTheme="minorEastAsia" w:cstheme="minorEastAsia"/>
                <w:kern w:val="2"/>
                <w:sz w:val="28"/>
                <w:szCs w:val="28"/>
                <w:lang w:val="en-US" w:eastAsia="zh-CN" w:bidi="ar-SA"/>
              </w:rPr>
            </w:sdtEndPr>
            <w:sdtContent>
              <w:r>
                <w:rPr>
                  <w:rFonts w:hint="eastAsia" w:asciiTheme="minorEastAsia" w:hAnsiTheme="minorEastAsia" w:eastAsiaTheme="minorEastAsia" w:cstheme="minorEastAsia"/>
                  <w:sz w:val="28"/>
                  <w:szCs w:val="28"/>
                </w:rPr>
                <w:t>14.6系统集成与运行维护</w:t>
              </w:r>
            </w:sdtContent>
          </w:sdt>
          <w:r>
            <w:rPr>
              <w:rFonts w:hint="eastAsia" w:asciiTheme="minorEastAsia" w:hAnsiTheme="minorEastAsia" w:eastAsiaTheme="minorEastAsia" w:cstheme="minorEastAsia"/>
              <w:sz w:val="28"/>
              <w:szCs w:val="28"/>
            </w:rPr>
            <w:tab/>
          </w:r>
          <w:bookmarkStart w:id="12" w:name="_Toc1452677359_WPSOffice_Level1Page"/>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12</w:t>
          </w:r>
          <w:bookmarkEnd w:id="12"/>
          <w:r>
            <w:rPr>
              <w:rFonts w:hint="eastAsia" w:asciiTheme="minorEastAsia" w:hAnsiTheme="minorEastAsia" w:eastAsiaTheme="minorEastAsia" w:cstheme="minorEastAsia"/>
              <w:sz w:val="28"/>
              <w:szCs w:val="28"/>
            </w:rPr>
            <w:fldChar w:fldCharType="end"/>
          </w:r>
        </w:p>
        <w:bookmarkEnd w:id="6"/>
        <w:p>
          <w:pPr>
            <w:pStyle w:val="29"/>
            <w:tabs>
              <w:tab w:val="right" w:leader="dot" w:pos="8306"/>
            </w:tabs>
          </w:pPr>
        </w:p>
      </w:sdtContent>
    </w:sdt>
    <w:p>
      <w:pPr>
        <w:spacing w:line="520" w:lineRule="atLeast"/>
        <w:jc w:val="center"/>
        <w:rPr>
          <w:rFonts w:hint="eastAsia" w:eastAsia="黑体"/>
          <w:b/>
          <w:bCs/>
          <w:sz w:val="30"/>
          <w:szCs w:val="30"/>
          <w:highlight w:val="none"/>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spacing w:line="520" w:lineRule="atLeast"/>
        <w:jc w:val="center"/>
        <w:rPr>
          <w:rFonts w:hint="eastAsia" w:eastAsia="黑体"/>
          <w:bCs/>
          <w:sz w:val="30"/>
          <w:szCs w:val="30"/>
          <w:highlight w:val="none"/>
          <w:lang w:eastAsia="zh-CN"/>
        </w:rPr>
      </w:pPr>
      <w:bookmarkStart w:id="13" w:name="_Toc346957905_WPSOffice_Level1"/>
      <w:r>
        <w:rPr>
          <w:rFonts w:hint="eastAsia" w:eastAsia="黑体"/>
          <w:b/>
          <w:bCs/>
          <w:sz w:val="30"/>
          <w:szCs w:val="30"/>
          <w:highlight w:val="none"/>
          <w:lang w:val="en-US" w:eastAsia="zh-CN"/>
        </w:rPr>
        <w:t>14</w:t>
      </w:r>
      <w:r>
        <w:rPr>
          <w:rFonts w:hint="eastAsia" w:eastAsia="黑体"/>
          <w:bCs/>
          <w:sz w:val="30"/>
          <w:szCs w:val="30"/>
          <w:highlight w:val="none"/>
          <w:lang w:val="en-US" w:eastAsia="zh-CN"/>
        </w:rPr>
        <w:t>工程信息化</w:t>
      </w:r>
      <w:bookmarkEnd w:id="13"/>
    </w:p>
    <w:p>
      <w:pPr>
        <w:pStyle w:val="4"/>
        <w:bidi w:val="0"/>
        <w:rPr>
          <w:rFonts w:hint="eastAsia"/>
          <w:lang w:val="en-US" w:eastAsia="zh-CN"/>
        </w:rPr>
      </w:pPr>
      <w:bookmarkStart w:id="14" w:name="_Toc1062362101_WPSOffice_Level1"/>
      <w:r>
        <w:rPr>
          <w:rFonts w:hint="eastAsia"/>
          <w:lang w:val="en-US" w:eastAsia="zh-CN"/>
        </w:rPr>
        <w:t>14.1概述</w:t>
      </w:r>
      <w:bookmarkEnd w:id="14"/>
    </w:p>
    <w:p>
      <w:pPr>
        <w:pStyle w:val="5"/>
        <w:bidi w:val="0"/>
        <w:rPr>
          <w:rFonts w:hint="eastAsia"/>
          <w:lang w:val="en-US" w:eastAsia="zh-CN"/>
        </w:rPr>
      </w:pPr>
      <w:r>
        <w:rPr>
          <w:rFonts w:hint="eastAsia"/>
          <w:lang w:val="en-US" w:eastAsia="zh-CN"/>
        </w:rPr>
        <w:t>14.1.1项目背景</w:t>
      </w:r>
    </w:p>
    <w:p>
      <w:pPr>
        <w:pStyle w:val="13"/>
        <w:keepNext w:val="0"/>
        <w:keepLines w:val="0"/>
        <w:widowControl/>
        <w:suppressLineNumbers w:val="0"/>
        <w:shd w:val="clear" w:fill="FFFFFF"/>
        <w:wordWrap/>
        <w:spacing w:before="0" w:beforeAutospacing="0" w:after="0" w:afterAutospacing="0"/>
        <w:ind w:left="0" w:right="0" w:firstLine="0"/>
        <w:jc w:val="left"/>
        <w:rPr>
          <w:rFonts w:ascii="宋体" w:hAnsi="宋体" w:eastAsia="宋体" w:cs="宋体"/>
          <w:spacing w:val="-1"/>
          <w:position w:val="2"/>
          <w:sz w:val="24"/>
          <w:szCs w:val="24"/>
        </w:rPr>
      </w:pPr>
      <w:r>
        <w:rPr>
          <w:rFonts w:hint="eastAsia" w:ascii="宋体" w:hAnsi="宋体" w:eastAsia="宋体" w:cs="宋体"/>
          <w:spacing w:val="-2"/>
          <w:position w:val="2"/>
          <w:sz w:val="24"/>
          <w:szCs w:val="24"/>
          <w:lang w:eastAsia="zh-CN"/>
        </w:rPr>
        <w:t>洋坑</w:t>
      </w:r>
      <w:r>
        <w:rPr>
          <w:rFonts w:ascii="宋体" w:hAnsi="宋体" w:eastAsia="宋体" w:cs="宋体"/>
          <w:spacing w:val="-2"/>
          <w:position w:val="2"/>
          <w:sz w:val="24"/>
          <w:szCs w:val="24"/>
        </w:rPr>
        <w:t>水</w:t>
      </w:r>
      <w:r>
        <w:rPr>
          <w:rFonts w:ascii="宋体" w:hAnsi="宋体" w:eastAsia="宋体" w:cs="宋体"/>
          <w:spacing w:val="-1"/>
          <w:position w:val="2"/>
          <w:sz w:val="24"/>
          <w:szCs w:val="24"/>
        </w:rPr>
        <w:t>库是一宗以灌溉为主</w:t>
      </w:r>
      <w:r>
        <w:rPr>
          <w:rFonts w:hint="eastAsia" w:ascii="宋体" w:hAnsi="宋体" w:eastAsia="宋体" w:cs="宋体"/>
          <w:spacing w:val="-1"/>
          <w:position w:val="2"/>
          <w:sz w:val="24"/>
          <w:szCs w:val="24"/>
          <w:lang w:eastAsia="zh-CN"/>
        </w:rPr>
        <w:t>，结合</w:t>
      </w:r>
      <w:r>
        <w:rPr>
          <w:rFonts w:ascii="宋体" w:hAnsi="宋体" w:eastAsia="宋体" w:cs="宋体"/>
          <w:spacing w:val="-1"/>
          <w:position w:val="2"/>
          <w:sz w:val="24"/>
          <w:szCs w:val="24"/>
        </w:rPr>
        <w:t>防洪、发电任务的小</w:t>
      </w:r>
      <w:r>
        <w:rPr>
          <w:rFonts w:ascii="Times New Roman" w:hAnsi="Times New Roman" w:eastAsia="Times New Roman" w:cs="Times New Roman"/>
          <w:spacing w:val="-1"/>
          <w:position w:val="2"/>
          <w:sz w:val="24"/>
          <w:szCs w:val="24"/>
        </w:rPr>
        <w:t>(</w:t>
      </w:r>
      <w:r>
        <w:rPr>
          <w:rFonts w:hint="eastAsia" w:ascii="宋体" w:hAnsi="宋体" w:eastAsia="宋体" w:cs="宋体"/>
          <w:spacing w:val="-1"/>
          <w:position w:val="2"/>
          <w:sz w:val="24"/>
          <w:szCs w:val="24"/>
          <w:lang w:val="en-US" w:eastAsia="zh-CN"/>
        </w:rPr>
        <w:t>1</w:t>
      </w:r>
      <w:r>
        <w:rPr>
          <w:rFonts w:ascii="Times New Roman" w:hAnsi="Times New Roman" w:eastAsia="Times New Roman" w:cs="Times New Roman"/>
          <w:spacing w:val="-1"/>
          <w:position w:val="2"/>
          <w:sz w:val="24"/>
          <w:szCs w:val="24"/>
        </w:rPr>
        <w:t>)</w:t>
      </w:r>
      <w:r>
        <w:rPr>
          <w:rFonts w:ascii="宋体" w:hAnsi="宋体" w:eastAsia="宋体" w:cs="宋体"/>
          <w:spacing w:val="-1"/>
          <w:position w:val="2"/>
          <w:sz w:val="24"/>
          <w:szCs w:val="24"/>
        </w:rPr>
        <w:t>型水库。</w:t>
      </w:r>
    </w:p>
    <w:p>
      <w:pPr>
        <w:pStyle w:val="5"/>
        <w:bidi w:val="0"/>
        <w:rPr>
          <w:rFonts w:ascii="SimHei" w:hAnsi="SimHei" w:eastAsia="SimHei" w:cs="SimHei"/>
          <w:szCs w:val="28"/>
        </w:rPr>
      </w:pPr>
      <w:r>
        <w:t>1</w:t>
      </w:r>
      <w:r>
        <w:rPr>
          <w:rFonts w:hint="eastAsia"/>
          <w:lang w:val="en-US" w:eastAsia="zh-CN"/>
        </w:rPr>
        <w:t>4</w:t>
      </w:r>
      <w:r>
        <w:t>.1.2水库信息化存在的问题</w:t>
      </w:r>
    </w:p>
    <w:p>
      <w:pPr>
        <w:bidi w:val="0"/>
      </w:pPr>
      <w:r>
        <w:t>(1)小型水库建设时间久，标准化程度低</w:t>
      </w:r>
    </w:p>
    <w:p>
      <w:pPr>
        <w:bidi w:val="0"/>
      </w:pPr>
      <w:r>
        <w:t>小型水库的挡水坝，一般是均质粘土坝，标准较低，一些小型水库没有进行设计就进行施工，工程设施建筑物没有达到相应的级别标准。如挡水坝高度或坝顶宽度也不够，坝的坡度较大，坝坡稳定安全系数低。相当一部分水库的坝基清理不完整，缺少反滤体，坝基渗漏较大。坝体与两岸的山坡交接处没有排水沟，坡面雨冲刷坝体。坝的上游坡面没有块石或混凝土块护坡，受水库风浪冲刷，下游坝坡也没有草皮护坡。</w:t>
      </w:r>
    </w:p>
    <w:p>
      <w:pPr>
        <w:bidi w:val="0"/>
      </w:pPr>
      <w:r>
        <w:t>(2)基础管理建设落后</w:t>
      </w:r>
    </w:p>
    <w:p>
      <w:pPr>
        <w:bidi w:val="0"/>
      </w:pPr>
      <w:r>
        <w:t>1)多数小型水库技术管理人员缺乏，无管理房，少数有管理房的小型水库存在管理房面积不够或管理房老旧、残破等问题，办公管理条件较差；</w:t>
      </w:r>
    </w:p>
    <w:p>
      <w:pPr>
        <w:bidi w:val="0"/>
      </w:pPr>
      <w:r>
        <w:t>2)多数启闭房破损，配套设施不齐备，管理不严；</w:t>
      </w:r>
    </w:p>
    <w:p>
      <w:pPr>
        <w:bidi w:val="0"/>
      </w:pPr>
      <w:r>
        <w:t>3)多数小型水库管理范围边界桩不齐全、不明显；</w:t>
      </w:r>
    </w:p>
    <w:p>
      <w:pPr>
        <w:bidi w:val="0"/>
      </w:pPr>
      <w:r>
        <w:t>4)多数缺乏水法规宣传标语、危险区警示等标志，标识、标牌不醒目、不规范、不齐全，夏季存在游泳现象，缺乏有效行政管理手段；</w:t>
      </w:r>
    </w:p>
    <w:p>
      <w:pPr>
        <w:bidi w:val="0"/>
      </w:pPr>
      <w:r>
        <w:t>5)多数小型水库防汛道路缺乏维修资金，个别土石路面狭窄，冲刷比较严重。</w:t>
      </w:r>
    </w:p>
    <w:p>
      <w:pPr>
        <w:bidi w:val="0"/>
      </w:pPr>
      <w:r>
        <w:t>(3)管理制度不健全</w:t>
      </w:r>
    </w:p>
    <w:p>
      <w:pPr>
        <w:bidi w:val="0"/>
      </w:pPr>
      <w:r>
        <w:t>各小型水库基本都有岗位责任制、安全管理制度及水库调度规程与防洪预案等规章制度，但是普遍存在内容不全面、不具体，可操作性差的问题，并缺乏有效的管理制度考核手段。部分制度缺失，缺少突发事件应急预案，机电设备运行维护规程、岗位职责与考核、职工教育培训制度松懈甚至形同虚设，且已编规程、制度、应急预案中的有关工程技术管理方面的内容较简单、深度不足，可操作性不高，不满足相关规范和工程安全管理要求。</w:t>
      </w:r>
    </w:p>
    <w:p>
      <w:pPr>
        <w:bidi w:val="0"/>
      </w:pPr>
      <w:r>
        <w:t>(4)安全运行管理不完善</w:t>
      </w:r>
    </w:p>
    <w:p>
      <w:pPr>
        <w:bidi w:val="0"/>
      </w:pPr>
      <w:r>
        <w:t>1)水库白蚁防治基本到位，坝坡虽无缺损，但是坝容坝貌有待提升，个别存在树木、高草繁茂，存在维修养护不力问题。</w:t>
      </w:r>
    </w:p>
    <w:p>
      <w:pPr>
        <w:bidi w:val="0"/>
      </w:pPr>
      <w:r>
        <w:t>2)水库安全管理建设缺失，水尺及汛限水位标识缺失或模糊不清。</w:t>
      </w:r>
    </w:p>
    <w:p>
      <w:pPr>
        <w:bidi w:val="0"/>
      </w:pPr>
      <w:r>
        <w:t>3)安全运行档案管理水平较低，安全运行管理要求不严。</w:t>
      </w:r>
    </w:p>
    <w:p>
      <w:pPr>
        <w:bidi w:val="0"/>
      </w:pPr>
      <w:r>
        <w:t>(5)信息化管理建设落后</w:t>
      </w:r>
    </w:p>
    <w:p>
      <w:pPr>
        <w:bidi w:val="0"/>
      </w:pPr>
      <w:r>
        <w:t>小型水库大多数信息化建设落后，近些年，随着信息化管理手段的不断完善，个别小(</w:t>
      </w:r>
      <w:r>
        <w:rPr>
          <w:rFonts w:hint="eastAsia"/>
          <w:lang w:val="en-US" w:eastAsia="zh-CN"/>
        </w:rPr>
        <w:t>1</w:t>
      </w:r>
      <w:r>
        <w:t>)型水库信息化建设配套逐步完善之外，大部分小型水库水位、降雨量、坝体外观(视频或图像)、渗流量“四要素”设施建设水平较低。</w:t>
      </w:r>
    </w:p>
    <w:p>
      <w:pPr>
        <w:pStyle w:val="5"/>
        <w:bidi w:val="0"/>
      </w:pPr>
      <w:r>
        <w:t>1</w:t>
      </w:r>
      <w:r>
        <w:rPr>
          <w:rFonts w:hint="eastAsia"/>
          <w:lang w:val="en-US" w:eastAsia="zh-CN"/>
        </w:rPr>
        <w:t>4</w:t>
      </w:r>
      <w:r>
        <w:t>.1.3智慧水利建设的必要性</w:t>
      </w:r>
    </w:p>
    <w:p>
      <w:pPr>
        <w:bidi w:val="0"/>
      </w:pPr>
      <w:r>
        <w:t>(1)满足提高水务局水利综合管理水平的需要</w:t>
      </w:r>
    </w:p>
    <w:p>
      <w:pPr>
        <w:bidi w:val="0"/>
        <w:jc w:val="left"/>
      </w:pPr>
      <w:r>
        <w:t>强化新技术与业务深度融合，充分利用已建成的水利信息资源，加强分析研判、模型仿真、预测预警、指挥调度、应急处置等环节的联动、协同和智能应用，为决策指挥调度提供科学依据，充分发挥已建水利工程设施效能，实现防洪减灾、水资源、水环境的智能化管理。</w:t>
      </w:r>
    </w:p>
    <w:p>
      <w:pPr>
        <w:bidi w:val="0"/>
      </w:pPr>
      <w:r>
        <w:t>(2)满足本工程管理调度的需要</w:t>
      </w:r>
    </w:p>
    <w:p>
      <w:pPr>
        <w:bidi w:val="0"/>
      </w:pPr>
      <w:r>
        <w:t>本工程信息化的建设，将实现互联网技术与防洪减灾，水资源综合利用，水环境保护和生态修复，水利综合管理等本工程核心业务的深度融合，通过本工程新建监测点或对已建监测点的数据接入，传感器和监控装置能及时将现场监测信息、图像信息以及具体位置坐标发送到管理调度中心系统平台，能够实现对流量、水位、水质进行实时监测，以便准确分析流量、水位、水质的状况;充分借助已建成的数据分析与展示系统、视频会商及大屏显示系统，可实现远程监控中心对现场情况的实时掌握，及时与现场进行会商或发布指令;有利于决策人员做出判断，进一步提升本工程管理调度的效率与实施效果。</w:t>
      </w:r>
    </w:p>
    <w:p>
      <w:pPr>
        <w:pStyle w:val="5"/>
        <w:bidi w:val="0"/>
      </w:pPr>
      <w:r>
        <w:t>1</w:t>
      </w:r>
      <w:r>
        <w:rPr>
          <w:rFonts w:hint="eastAsia"/>
          <w:lang w:val="en-US" w:eastAsia="zh-CN"/>
        </w:rPr>
        <w:t>4</w:t>
      </w:r>
      <w:r>
        <w:t>.1.4小型水库工程信息化总布置</w:t>
      </w:r>
    </w:p>
    <w:p>
      <w:pPr>
        <w:spacing w:before="78" w:line="376" w:lineRule="auto"/>
        <w:ind w:left="25" w:right="68" w:firstLine="485"/>
        <w:rPr>
          <w:rFonts w:ascii="宋体" w:hAnsi="宋体" w:eastAsia="宋体" w:cs="宋体"/>
          <w:sz w:val="24"/>
          <w:szCs w:val="24"/>
        </w:rPr>
      </w:pPr>
      <w:r>
        <w:rPr>
          <w:rFonts w:ascii="宋体" w:hAnsi="宋体" w:eastAsia="宋体" w:cs="宋体"/>
          <w:spacing w:val="-6"/>
          <w:sz w:val="24"/>
          <w:szCs w:val="24"/>
        </w:rPr>
        <w:t>小型水</w:t>
      </w:r>
      <w:r>
        <w:rPr>
          <w:rFonts w:ascii="宋体" w:hAnsi="宋体" w:eastAsia="宋体" w:cs="宋体"/>
          <w:spacing w:val="-5"/>
          <w:sz w:val="24"/>
          <w:szCs w:val="24"/>
        </w:rPr>
        <w:t>库</w:t>
      </w:r>
      <w:r>
        <w:rPr>
          <w:rFonts w:ascii="宋体" w:hAnsi="宋体" w:eastAsia="宋体" w:cs="宋体"/>
          <w:spacing w:val="-3"/>
          <w:sz w:val="24"/>
          <w:szCs w:val="24"/>
        </w:rPr>
        <w:t>的信息系统建设采用数字模块化设计，根据地理环境和已建成的水利设施，对前端部署点位，以智慧化物联感知监测设备设施为基础，建设一套</w:t>
      </w:r>
      <w:r>
        <w:rPr>
          <w:rFonts w:ascii="宋体" w:hAnsi="宋体" w:eastAsia="宋体" w:cs="宋体"/>
          <w:spacing w:val="-2"/>
          <w:sz w:val="24"/>
          <w:szCs w:val="24"/>
        </w:rPr>
        <w:t>在</w:t>
      </w:r>
      <w:r>
        <w:rPr>
          <w:rFonts w:ascii="宋体" w:hAnsi="宋体" w:eastAsia="宋体" w:cs="宋体"/>
          <w:spacing w:val="-1"/>
          <w:sz w:val="24"/>
          <w:szCs w:val="24"/>
        </w:rPr>
        <w:t>线监测与监控、实时分析</w:t>
      </w:r>
      <w:r>
        <w:rPr>
          <w:rFonts w:ascii="宋体" w:hAnsi="宋体" w:eastAsia="宋体" w:cs="宋体"/>
          <w:sz w:val="24"/>
          <w:szCs w:val="24"/>
        </w:rPr>
        <w:t>以及联动预警的信息系统。</w:t>
      </w:r>
    </w:p>
    <w:p>
      <w:pPr>
        <w:pStyle w:val="2"/>
        <w:rPr>
          <w:rFonts w:ascii="宋体" w:hAnsi="宋体" w:eastAsia="宋体" w:cs="宋体"/>
          <w:spacing w:val="-1"/>
          <w:sz w:val="24"/>
          <w:szCs w:val="24"/>
        </w:rPr>
      </w:pPr>
      <w:r>
        <w:rPr>
          <w:rFonts w:ascii="宋体" w:hAnsi="宋体" w:eastAsia="宋体" w:cs="宋体"/>
          <w:spacing w:val="-6"/>
          <w:sz w:val="24"/>
          <w:szCs w:val="24"/>
        </w:rPr>
        <w:t>通</w:t>
      </w:r>
      <w:r>
        <w:rPr>
          <w:rFonts w:ascii="宋体" w:hAnsi="宋体" w:eastAsia="宋体" w:cs="宋体"/>
          <w:spacing w:val="-4"/>
          <w:sz w:val="24"/>
          <w:szCs w:val="24"/>
        </w:rPr>
        <w:t>过</w:t>
      </w:r>
      <w:r>
        <w:rPr>
          <w:rFonts w:ascii="宋体" w:hAnsi="宋体" w:eastAsia="宋体" w:cs="宋体"/>
          <w:spacing w:val="-3"/>
          <w:sz w:val="24"/>
          <w:szCs w:val="24"/>
        </w:rPr>
        <w:t>前端的物联感知，收集有时间序列的终端感知数据，这些是原始的未经加工的数据，经建设的智慧化系统应用接收与分析处理，再结合业务应用形成</w:t>
      </w:r>
      <w:r>
        <w:rPr>
          <w:rFonts w:ascii="宋体" w:hAnsi="宋体" w:eastAsia="宋体" w:cs="宋体"/>
          <w:spacing w:val="-1"/>
          <w:sz w:val="24"/>
          <w:szCs w:val="24"/>
        </w:rPr>
        <w:t>结</w:t>
      </w:r>
      <w:r>
        <w:rPr>
          <w:rFonts w:ascii="宋体" w:hAnsi="宋体" w:eastAsia="宋体" w:cs="宋体"/>
          <w:spacing w:val="-3"/>
          <w:sz w:val="24"/>
          <w:szCs w:val="24"/>
        </w:rPr>
        <w:t>果数据，采用信息化技术手段建设的应用系统进行呈现。在水务局建立一个信</w:t>
      </w:r>
      <w:r>
        <w:rPr>
          <w:rFonts w:ascii="宋体" w:hAnsi="宋体" w:eastAsia="宋体" w:cs="宋体"/>
          <w:spacing w:val="-1"/>
          <w:sz w:val="24"/>
          <w:szCs w:val="24"/>
        </w:rPr>
        <w:t>息</w:t>
      </w:r>
      <w:r>
        <w:rPr>
          <w:rFonts w:ascii="宋体" w:hAnsi="宋体" w:eastAsia="宋体" w:cs="宋体"/>
          <w:spacing w:val="-3"/>
          <w:sz w:val="24"/>
          <w:szCs w:val="24"/>
        </w:rPr>
        <w:t>系统，以此为基础平台，以二三维地理信息引擎为核心，提供强大的集成和大</w:t>
      </w:r>
      <w:r>
        <w:rPr>
          <w:rFonts w:ascii="宋体" w:hAnsi="宋体" w:eastAsia="宋体" w:cs="宋体"/>
          <w:spacing w:val="-1"/>
          <w:sz w:val="24"/>
          <w:szCs w:val="24"/>
        </w:rPr>
        <w:t>数</w:t>
      </w:r>
      <w:r>
        <w:rPr>
          <w:rFonts w:ascii="宋体" w:hAnsi="宋体" w:eastAsia="宋体" w:cs="宋体"/>
          <w:spacing w:val="-3"/>
          <w:sz w:val="24"/>
          <w:szCs w:val="24"/>
        </w:rPr>
        <w:t>据承载能力，集成水文监测、水质在线监测、气象监测、视频监控、闸门远程</w:t>
      </w:r>
      <w:r>
        <w:rPr>
          <w:rFonts w:ascii="宋体" w:hAnsi="宋体" w:eastAsia="宋体" w:cs="宋体"/>
          <w:sz w:val="24"/>
          <w:szCs w:val="24"/>
        </w:rPr>
        <w:t>控</w:t>
      </w:r>
      <w:r>
        <w:rPr>
          <w:rFonts w:ascii="宋体" w:hAnsi="宋体" w:eastAsia="宋体" w:cs="宋体"/>
          <w:spacing w:val="-1"/>
          <w:sz w:val="24"/>
          <w:szCs w:val="24"/>
        </w:rPr>
        <w:t>制系统等系统功能。</w:t>
      </w:r>
    </w:p>
    <w:p>
      <w:pPr>
        <w:pStyle w:val="4"/>
        <w:bidi w:val="0"/>
      </w:pPr>
      <w:bookmarkStart w:id="15" w:name="_Toc579155636_WPSOffice_Level1"/>
      <w:r>
        <w:t>1</w:t>
      </w:r>
      <w:r>
        <w:rPr>
          <w:rFonts w:hint="eastAsia"/>
          <w:lang w:val="en-US" w:eastAsia="zh-CN"/>
        </w:rPr>
        <w:t>4</w:t>
      </w:r>
      <w:r>
        <w:t>.2需求分析</w:t>
      </w:r>
      <w:bookmarkEnd w:id="15"/>
    </w:p>
    <w:p>
      <w:pPr>
        <w:bidi w:val="0"/>
      </w:pPr>
      <w:r>
        <w:t>小型水库具有重要的资源功能和生态功能，是水资源开发利用、蓄滞洪作用的重要补充载体，也是生态环境的重要组成部分。小型水库安全运行管理信息化是规范小型水库运行管理，进一步夯实小型水库安全基础，全面提升小型水库运行管理水平的重要措施，是水行政主管部门的重要职责，也是加强水利管理的一项基础性工作，也是水利建设管理中一项重要工作。</w:t>
      </w:r>
    </w:p>
    <w:p>
      <w:pPr>
        <w:bidi w:val="0"/>
      </w:pPr>
      <w:r>
        <w:t>现如今的小型水库多建于50年代末至70年代，受当时的经济、技术条件的限制，缺乏必要的水文、地质、设计、施工等技术资料，再加上群众性施工，施工工艺差、质量控制不严，造成了小型水库大都标准低、质量差、隐患多，存在危及大坝安全问题。经过多年运行，水库年久失修，工程老化严重，出现有逐年增多的趋势。虽然2000年以后陆续开展了水库除险加固，但是进入2010年以后，小型水库除险加固和水库安全运行管理依然存在较多的问题，水库安全运行管理不标准、不规范给社会造成不利的因素，也给工程管理方面带来不少问题。</w:t>
      </w:r>
    </w:p>
    <w:p>
      <w:pPr>
        <w:bidi w:val="0"/>
      </w:pPr>
      <w:r>
        <w:t>根据广东省的总体安排，逐步深化小型水利工程管理体制改革工作，大多数小型水库管护主体责任明确，但因管护经费不足的问题，大部分小型水库运行管理标准化建设滞后，与标准化工作尚有一定差距，安全运行管理方面存在较大的隐患，开展小型水库安全运行管理标准化建设迫在眉睫。</w:t>
      </w:r>
    </w:p>
    <w:p>
      <w:pPr>
        <w:bidi w:val="0"/>
      </w:pPr>
      <w:r>
        <w:t>因此，开展小型水库安全运行管理标准化工作，紧紧围绕“水利工程补短板，水利行业强监管”的水利改革发展总基调，为全区下阶段水利事业改革的顺利实施，是十分必要且紧迫的。</w:t>
      </w:r>
    </w:p>
    <w:p>
      <w:pPr>
        <w:pStyle w:val="4"/>
        <w:bidi w:val="0"/>
      </w:pPr>
      <w:bookmarkStart w:id="16" w:name="_Toc1114716637_WPSOffice_Level1"/>
      <w:r>
        <w:t>1</w:t>
      </w:r>
      <w:r>
        <w:rPr>
          <w:rFonts w:hint="eastAsia"/>
          <w:lang w:val="en-US" w:eastAsia="zh-CN"/>
        </w:rPr>
        <w:t>4</w:t>
      </w:r>
      <w:r>
        <w:t>.3总体设计</w:t>
      </w:r>
      <w:bookmarkEnd w:id="16"/>
    </w:p>
    <w:p>
      <w:pPr>
        <w:bidi w:val="0"/>
      </w:pPr>
      <w:r>
        <w:t>小型水库安全运行管理标准化工作主要概括为“四个落实、三个规范、两个创新、一个美化”，即落实管理责任、落实管养经费、落实管护人员、落实管理与保护范围，规范工作制度、规范管理设施、规范标识标牌，创新管理手段、创新管养模式，美化水库环境。基本实现职责明确、机制完善、制度健全、管理规范、监督有力的小型水库安全运行管理新局面。</w:t>
      </w:r>
    </w:p>
    <w:p>
      <w:pPr>
        <w:bidi w:val="0"/>
      </w:pPr>
      <w:r>
        <w:t>本工程主要为针对长坑水库完善规章制度、提升坝容坝貌以及增设“三要素”、“四要素”视频监控系统。</w:t>
      </w:r>
    </w:p>
    <w:p>
      <w:pPr>
        <w:bidi w:val="0"/>
      </w:pPr>
      <w:r>
        <w:t>并以此为基础平台，以二三维地理信息引擎为核心，将各个水库连接起来，提供强大的集成和大数据承载能力，集成水文监测、水质在线监测、气象监测、视频监控、闸门远程控制系统等系统功能。</w:t>
      </w:r>
    </w:p>
    <w:p>
      <w:pPr>
        <w:pStyle w:val="4"/>
        <w:bidi w:val="0"/>
      </w:pPr>
      <w:bookmarkStart w:id="17" w:name="_Toc1888688235_WPSOffice_Level1"/>
      <w:r>
        <w:t>1</w:t>
      </w:r>
      <w:r>
        <w:rPr>
          <w:rFonts w:hint="eastAsia"/>
          <w:lang w:val="en-US" w:eastAsia="zh-CN"/>
        </w:rPr>
        <w:t>4</w:t>
      </w:r>
      <w:r>
        <w:t>.4分项设计</w:t>
      </w:r>
      <w:bookmarkEnd w:id="17"/>
    </w:p>
    <w:p>
      <w:pPr>
        <w:pStyle w:val="5"/>
        <w:bidi w:val="0"/>
      </w:pPr>
      <w:r>
        <w:t>1</w:t>
      </w:r>
      <w:r>
        <w:rPr>
          <w:rFonts w:hint="eastAsia"/>
          <w:lang w:val="en-US" w:eastAsia="zh-CN"/>
        </w:rPr>
        <w:t>4</w:t>
      </w:r>
      <w:r>
        <w:t>.4.1智能感知系统建设</w:t>
      </w:r>
    </w:p>
    <w:p>
      <w:pPr>
        <w:bidi w:val="0"/>
      </w:pPr>
      <w:r>
        <w:t>1、小(1)型水库和坝高超过</w:t>
      </w:r>
      <w:r>
        <w:rPr>
          <w:rFonts w:hint="eastAsia"/>
          <w:lang w:eastAsia="zh-CN"/>
        </w:rPr>
        <w:t>14</w:t>
      </w:r>
      <w:r>
        <w:t>m及以上的小(2)型水库智能感知必设项目为库水位、降雨量、坝体外观(视频或图像)和渗流量监测，简称“四要素”。</w:t>
      </w:r>
    </w:p>
    <w:p>
      <w:pPr>
        <w:bidi w:val="0"/>
      </w:pPr>
      <w:r>
        <w:t>2、坝高小于</w:t>
      </w:r>
      <w:r>
        <w:rPr>
          <w:rFonts w:hint="eastAsia"/>
          <w:lang w:eastAsia="zh-CN"/>
        </w:rPr>
        <w:t>14</w:t>
      </w:r>
      <w:r>
        <w:t>m的小(2)型水库智能感知必设项目为库水位、降雨量、坝体外观(视频或图像)，简称“三要素”。</w:t>
      </w:r>
    </w:p>
    <w:p>
      <w:pPr>
        <w:bidi w:val="0"/>
      </w:pPr>
      <w:r>
        <w:t>3、库水位、降雨量、坝体外观(视频或图像)可集中于“一杆式装置”，一般安装在坝顶靠上游侧，实现数据实时感知、自动传输。</w:t>
      </w:r>
    </w:p>
    <w:p>
      <w:pPr>
        <w:bidi w:val="0"/>
      </w:pPr>
      <w:r>
        <w:t>4、智能感知数据均应接入“广东水利云”和省级开发建设的水利工程运行管理平台。</w:t>
      </w:r>
    </w:p>
    <w:p>
      <w:pPr>
        <w:bidi w:val="0"/>
      </w:pPr>
      <w:r>
        <w:t>首先将新建的水库“四要素”、“三要素”监测系统的数据需要无缝接入广东省水利工程运行监管云平台。其次，各个小型水库逐步完善水库安全运行标准化档案管理，并形成信息化数据传输到广东省水利工程运行监管接收服务器，并入库，数据经规范化、标准化处理后统一进入监管云平台。</w:t>
      </w:r>
    </w:p>
    <w:p>
      <w:pPr>
        <w:bidi w:val="0"/>
      </w:pPr>
      <w:r>
        <w:t>(1)上报数据内容</w:t>
      </w:r>
    </w:p>
    <w:p>
      <w:pPr>
        <w:bidi w:val="0"/>
      </w:pPr>
      <w:r>
        <w:t>小型水库日常管理上报信息化数据包括：</w:t>
      </w:r>
    </w:p>
    <w:p>
      <w:pPr>
        <w:bidi w:val="0"/>
        <w:jc w:val="both"/>
      </w:pPr>
      <w:r>
        <w:t>1)静态数据</w:t>
      </w:r>
    </w:p>
    <w:p>
      <w:pPr>
        <w:bidi w:val="0"/>
        <w:jc w:val="both"/>
      </w:pPr>
      <w:r>
        <w:t>①基本信息：水库注册登记号、水库名称、水库位置、水库概况。</w:t>
      </w:r>
    </w:p>
    <w:p>
      <w:pPr>
        <w:bidi w:val="0"/>
        <w:jc w:val="both"/>
      </w:pPr>
      <w:r>
        <w:t>②主要特征数据：坝型、坝高、坝长、溢洪道堰顶高程、校核水位、设计水位、正常水位、汛限水位、死水位、库容曲线、泄流能力曲线和发电装机容量等。</w:t>
      </w:r>
    </w:p>
    <w:p>
      <w:pPr>
        <w:bidi w:val="0"/>
        <w:jc w:val="both"/>
      </w:pPr>
      <w:r>
        <w:t>③档案资料：工程地质勘察资料、关键图纸、地形测量等资料文档(PDF、图片等)。</w:t>
      </w:r>
    </w:p>
    <w:p>
      <w:pPr>
        <w:bidi w:val="0"/>
      </w:pPr>
      <w:r>
        <w:t>2)动态数据</w:t>
      </w:r>
    </w:p>
    <w:p>
      <w:pPr>
        <w:keepNext w:val="0"/>
        <w:keepLines w:val="0"/>
        <w:pageBreakBefore w:val="0"/>
        <w:widowControl w:val="0"/>
        <w:kinsoku/>
        <w:wordWrap/>
        <w:overflowPunct/>
        <w:topLinePunct w:val="0"/>
        <w:autoSpaceDE/>
        <w:autoSpaceDN/>
        <w:bidi w:val="0"/>
        <w:adjustRightInd/>
        <w:snapToGrid/>
        <w:ind w:firstLine="480" w:firstLineChars="200"/>
        <w:textAlignment w:val="auto"/>
      </w:pPr>
      <w:r>
        <w:t>①责任人信息、调度方案及应急预案。</w:t>
      </w:r>
    </w:p>
    <w:p>
      <w:pPr>
        <w:keepNext w:val="0"/>
        <w:keepLines w:val="0"/>
        <w:pageBreakBefore w:val="0"/>
        <w:widowControl w:val="0"/>
        <w:kinsoku/>
        <w:wordWrap/>
        <w:overflowPunct/>
        <w:topLinePunct w:val="0"/>
        <w:autoSpaceDE/>
        <w:autoSpaceDN/>
        <w:bidi w:val="0"/>
        <w:adjustRightInd/>
        <w:snapToGrid/>
        <w:ind w:firstLine="480" w:firstLineChars="200"/>
        <w:textAlignment w:val="auto"/>
      </w:pPr>
      <w:r>
        <w:t>②监控监测数据：库水位、降雨量、坝体外观(视频或图像)、渗流量。</w:t>
      </w:r>
    </w:p>
    <w:p>
      <w:pPr>
        <w:keepNext w:val="0"/>
        <w:keepLines w:val="0"/>
        <w:pageBreakBefore w:val="0"/>
        <w:widowControl w:val="0"/>
        <w:kinsoku/>
        <w:wordWrap/>
        <w:overflowPunct/>
        <w:topLinePunct w:val="0"/>
        <w:autoSpaceDE/>
        <w:autoSpaceDN/>
        <w:bidi w:val="0"/>
        <w:adjustRightInd/>
        <w:snapToGrid/>
        <w:ind w:firstLine="480" w:firstLineChars="200"/>
        <w:textAlignment w:val="auto"/>
      </w:pPr>
      <w:r>
        <w:t>③巡查数据：巡查人员、巡查时间、巡查类型(日常、定期、特别)、巡查路线、巡查项目结果记录(包含异常情况图片)。</w:t>
      </w:r>
    </w:p>
    <w:p>
      <w:pPr>
        <w:keepNext w:val="0"/>
        <w:keepLines w:val="0"/>
        <w:pageBreakBefore w:val="0"/>
        <w:widowControl w:val="0"/>
        <w:kinsoku/>
        <w:wordWrap/>
        <w:overflowPunct/>
        <w:topLinePunct w:val="0"/>
        <w:autoSpaceDE/>
        <w:autoSpaceDN/>
        <w:bidi w:val="0"/>
        <w:adjustRightInd/>
        <w:snapToGrid/>
        <w:ind w:firstLine="480" w:firstLineChars="200"/>
        <w:textAlignment w:val="auto"/>
      </w:pPr>
      <w:r>
        <w:t>④险情上报：险情部位、险情时间、险情描述、险情图片/视频/语音。</w:t>
      </w:r>
    </w:p>
    <w:p>
      <w:pPr>
        <w:bidi w:val="0"/>
      </w:pPr>
      <w:r>
        <w:t>(2)上报数据格式</w:t>
      </w:r>
    </w:p>
    <w:p>
      <w:pPr>
        <w:bidi w:val="0"/>
      </w:pPr>
      <w:r>
        <w:t>报文格式上采用通用JSON格式文本信息；现场照片或文件类上报内容，使用HTTP文件流形式上报。</w:t>
      </w:r>
    </w:p>
    <w:p>
      <w:pPr>
        <w:bidi w:val="0"/>
      </w:pPr>
      <w:r>
        <w:t>1)上报数据接口</w:t>
      </w:r>
    </w:p>
    <w:p>
      <w:pPr>
        <w:bidi w:val="0"/>
      </w:pPr>
      <w:r>
        <w:t>数据接口采用基于HTTPS协议的REST接口。</w:t>
      </w:r>
    </w:p>
    <w:p>
      <w:pPr>
        <w:pStyle w:val="5"/>
        <w:bidi w:val="0"/>
      </w:pPr>
      <w:r>
        <w:t>1</w:t>
      </w:r>
      <w:r>
        <w:rPr>
          <w:rFonts w:hint="eastAsia"/>
          <w:lang w:val="en-US" w:eastAsia="zh-CN"/>
        </w:rPr>
        <w:t>4</w:t>
      </w:r>
      <w:r>
        <w:t>.4.2数字水库建设</w:t>
      </w:r>
    </w:p>
    <w:p>
      <w:pPr>
        <w:bidi w:val="0"/>
      </w:pPr>
      <w:r>
        <w:t>数字水库建设主要内容包括：</w:t>
      </w:r>
    </w:p>
    <w:p>
      <w:pPr>
        <w:bidi w:val="0"/>
      </w:pPr>
      <w:r>
        <w:t>(1)将主要工程特征数据(坝型、坝高、坝长、溢洪道堰顶高程、校核水位、设计水位、正常水位、死水位、库容曲线、泄流能力曲线和发电装机容量等)录入工程基础数据库。</w:t>
      </w:r>
    </w:p>
    <w:p>
      <w:pPr>
        <w:bidi w:val="0"/>
      </w:pPr>
      <w:r>
        <w:t>(2)结合水库大坝定期安全鉴定等工作，将工程地质勘察资料、关键图纸、地形测量等资料文档电子化(PDF、图片等)，并导入工程基础数据库。</w:t>
      </w:r>
    </w:p>
    <w:p>
      <w:pPr>
        <w:bidi w:val="0"/>
      </w:pPr>
      <w:r>
        <w:t>由于平台对接及数字水库建设涉及技术内容规范化、标准化程度要求较高，因此本项工作由市水务局统一部署安排，由中标施工方负责实施。</w:t>
      </w:r>
    </w:p>
    <w:p>
      <w:pPr>
        <w:pStyle w:val="5"/>
        <w:bidi w:val="0"/>
      </w:pPr>
      <w:r>
        <w:t>1</w:t>
      </w:r>
      <w:r>
        <w:rPr>
          <w:rFonts w:hint="eastAsia"/>
          <w:lang w:val="en-US" w:eastAsia="zh-CN"/>
        </w:rPr>
        <w:t>4</w:t>
      </w:r>
      <w:r>
        <w:t>.4.3“四要素”监测站设计</w:t>
      </w:r>
    </w:p>
    <w:p>
      <w:pPr>
        <w:pStyle w:val="6"/>
        <w:bidi w:val="0"/>
      </w:pPr>
      <w:r>
        <w:t>1</w:t>
      </w:r>
      <w:r>
        <w:rPr>
          <w:rFonts w:hint="eastAsia"/>
          <w:lang w:val="en-US" w:eastAsia="zh-CN"/>
        </w:rPr>
        <w:t>4</w:t>
      </w:r>
      <w:r>
        <w:t>.4.3.1功能要求</w:t>
      </w:r>
    </w:p>
    <w:p>
      <w:pPr>
        <w:bidi w:val="0"/>
      </w:pPr>
      <w:r>
        <w:t>本项目中新建的“四要素”遥测站可同时采集库水位、雨量、图像以及渗流量等信息，并通过无线传输将实时信息传送到服务器。具体功能要求如下：</w:t>
      </w:r>
    </w:p>
    <w:p>
      <w:pPr>
        <w:bidi w:val="0"/>
      </w:pPr>
      <w:r>
        <w:t>(1)信息机房接收一次所属全部测站的所有水雨情、图像、渗流量信息，并在短时间内快速完成数据传输、处理、入库；</w:t>
      </w:r>
    </w:p>
    <w:p>
      <w:pPr>
        <w:bidi w:val="0"/>
      </w:pPr>
      <w:r>
        <w:t>(2)系统能长期地、特别是在暴雨洪水等恶劣天气条件也能准确、可靠地接收到信息；</w:t>
      </w:r>
    </w:p>
    <w:p>
      <w:pPr>
        <w:bidi w:val="0"/>
      </w:pPr>
      <w:r>
        <w:t>(3)各项设备要符合结构简单、可靠、低功耗的原则，采用太阳能电池板向蓄电池浮充的供电方式，并能够在连续40天阴雨天气条件下正常工作；</w:t>
      </w:r>
    </w:p>
    <w:p>
      <w:pPr>
        <w:bidi w:val="0"/>
      </w:pPr>
      <w:r>
        <w:t>(4)所有遥测站都能在无人值守的条件下工作；</w:t>
      </w:r>
    </w:p>
    <w:p>
      <w:pPr>
        <w:bidi w:val="0"/>
      </w:pPr>
      <w:r>
        <w:t>(5)自动采集水位、降水、渗流量数据，定时、适时地传输数据，在暴雨天加报实时水雨情、渗流量数据；</w:t>
      </w:r>
    </w:p>
    <w:p>
      <w:pPr>
        <w:bidi w:val="0"/>
      </w:pPr>
      <w:r>
        <w:t>(6)系统无故障工作时间＞25000小时；</w:t>
      </w:r>
    </w:p>
    <w:p>
      <w:pPr>
        <w:bidi w:val="0"/>
      </w:pPr>
      <w:r>
        <w:t>(7)具备可靠的防雷措施；</w:t>
      </w:r>
    </w:p>
    <w:p>
      <w:pPr>
        <w:bidi w:val="0"/>
      </w:pPr>
      <w:r>
        <w:t>(8)系统应具有良好的可扩展性、可维护性、可操作性，并保证系统具有一定的先进性。</w:t>
      </w:r>
    </w:p>
    <w:p>
      <w:pPr>
        <w:pStyle w:val="6"/>
        <w:bidi w:val="0"/>
      </w:pPr>
      <w:r>
        <w:t>1</w:t>
      </w:r>
      <w:r>
        <w:rPr>
          <w:rFonts w:hint="eastAsia"/>
          <w:lang w:val="en-US" w:eastAsia="zh-CN"/>
        </w:rPr>
        <w:t>4</w:t>
      </w:r>
      <w:r>
        <w:t>.4.3.2组网拓扑结构</w:t>
      </w:r>
    </w:p>
    <w:p>
      <w:pPr>
        <w:bidi w:val="0"/>
      </w:pPr>
      <w:r>
        <w:t>为了完成能在短时间内将各监测站点的水雨情、现场图像信息全部传送到管理机构的目标，保证系统的可靠性，根据本地的实际情况，将通信网的结构设计</w:t>
      </w:r>
      <w:r>
        <w:drawing>
          <wp:anchor distT="0" distB="0" distL="114300" distR="114300" simplePos="0" relativeHeight="251658240" behindDoc="0" locked="0" layoutInCell="1" allowOverlap="1">
            <wp:simplePos x="0" y="0"/>
            <wp:positionH relativeFrom="column">
              <wp:posOffset>92710</wp:posOffset>
            </wp:positionH>
            <wp:positionV relativeFrom="paragraph">
              <wp:posOffset>376555</wp:posOffset>
            </wp:positionV>
            <wp:extent cx="5267960" cy="1797685"/>
            <wp:effectExtent l="0" t="0" r="8890" b="12065"/>
            <wp:wrapTopAndBottom/>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pic:cNvPicPr>
                  </pic:nvPicPr>
                  <pic:blipFill>
                    <a:blip r:embed="rId8"/>
                    <a:stretch>
                      <a:fillRect/>
                    </a:stretch>
                  </pic:blipFill>
                  <pic:spPr>
                    <a:xfrm>
                      <a:off x="0" y="0"/>
                      <a:ext cx="5267960" cy="1797685"/>
                    </a:xfrm>
                    <a:prstGeom prst="rect">
                      <a:avLst/>
                    </a:prstGeom>
                    <a:noFill/>
                    <a:ln>
                      <a:noFill/>
                    </a:ln>
                  </pic:spPr>
                </pic:pic>
              </a:graphicData>
            </a:graphic>
          </wp:anchor>
        </w:drawing>
      </w:r>
      <w:r>
        <w:t>成如下网络结构。</w:t>
      </w:r>
    </w:p>
    <w:p>
      <w:pPr>
        <w:bidi w:val="0"/>
        <w:ind w:left="0" w:leftChars="0" w:firstLine="0" w:firstLineChars="0"/>
        <w:jc w:val="center"/>
      </w:pPr>
      <w:r>
        <w:t>图1</w:t>
      </w:r>
      <w:r>
        <w:rPr>
          <w:rFonts w:hint="eastAsia"/>
          <w:lang w:val="en-US" w:eastAsia="zh-CN"/>
        </w:rPr>
        <w:t>4</w:t>
      </w:r>
      <w:r>
        <w:t>-1定时图像三/四要素监测站通信网络结构设计示意图</w:t>
      </w:r>
    </w:p>
    <w:p>
      <w:pPr>
        <w:pStyle w:val="6"/>
        <w:bidi w:val="0"/>
      </w:pPr>
      <w:r>
        <w:t>1</w:t>
      </w:r>
      <w:r>
        <w:rPr>
          <w:rFonts w:hint="eastAsia"/>
          <w:lang w:val="en-US" w:eastAsia="zh-CN"/>
        </w:rPr>
        <w:t>4</w:t>
      </w:r>
      <w:r>
        <w:t>.4.3.3传输通道</w:t>
      </w:r>
    </w:p>
    <w:p>
      <w:pPr>
        <w:bidi w:val="0"/>
      </w:pPr>
      <w:r>
        <w:t>本系统的通信网络采用GPRS/4G网络。</w:t>
      </w:r>
    </w:p>
    <w:p>
      <w:pPr>
        <w:bidi w:val="0"/>
      </w:pPr>
      <w:r>
        <w:t>由各类传感器采集到的水库实时水雨情、现场图像和渗流量数据，通过通信运营商的GPRS/4G网络转发到互联网，再由互联网传输到信息机房的服务器进行存储管理。使用这种信道的优点是速度快，稳定；缺点是水库站点必须已经被主要通信运营商信号覆盖。</w:t>
      </w:r>
    </w:p>
    <w:p>
      <w:pPr>
        <w:pStyle w:val="6"/>
        <w:bidi w:val="0"/>
      </w:pPr>
      <w:r>
        <w:t>1</w:t>
      </w:r>
      <w:r>
        <w:rPr>
          <w:rFonts w:hint="eastAsia"/>
          <w:lang w:val="en-US" w:eastAsia="zh-CN"/>
        </w:rPr>
        <w:t>4</w:t>
      </w:r>
      <w:r>
        <w:t>.4.3.4硬件系统组成</w:t>
      </w:r>
    </w:p>
    <w:p>
      <w:pPr>
        <w:bidi w:val="0"/>
      </w:pPr>
      <w:r>
        <w:t>水库“四要素”监测站设备有信息采集及发送器、电源、雨量计、水位计、图片摄像头(含LED补光灯)、量水堰、无线传输模块、供电系统等。遥测站设备基本配置如下图1</w:t>
      </w:r>
      <w:r>
        <w:rPr>
          <w:rFonts w:hint="eastAsia"/>
          <w:lang w:val="en-US" w:eastAsia="zh-CN"/>
        </w:rPr>
        <w:t>4</w:t>
      </w:r>
      <w:r>
        <w:t>-2所示。</w:t>
      </w:r>
    </w:p>
    <w:p>
      <w:pPr>
        <w:bidi w:val="0"/>
      </w:pPr>
      <w:r>
        <w:t>采集仪按要求自动完成水位、雨量、图像及渗流量数据的采集、存储，并通过内置的通讯模块对数据进行处理、协议封装后发送到GPRS/4G网络。</w:t>
      </w:r>
    </w:p>
    <w:p>
      <w:r>
        <w:br w:type="page"/>
      </w:r>
    </w:p>
    <w:p>
      <w:pPr>
        <w:pStyle w:val="3"/>
        <w:jc w:val="center"/>
        <w:rPr>
          <w:rFonts w:hint="default"/>
          <w:lang w:val="en-US" w:eastAsia="zh-CN"/>
        </w:rPr>
      </w:pPr>
      <w:r>
        <w:drawing>
          <wp:anchor distT="0" distB="0" distL="0" distR="0" simplePos="0" relativeHeight="251661312" behindDoc="0" locked="0" layoutInCell="1" allowOverlap="1">
            <wp:simplePos x="0" y="0"/>
            <wp:positionH relativeFrom="column">
              <wp:posOffset>791845</wp:posOffset>
            </wp:positionH>
            <wp:positionV relativeFrom="page">
              <wp:posOffset>1176020</wp:posOffset>
            </wp:positionV>
            <wp:extent cx="3688080" cy="2476500"/>
            <wp:effectExtent l="0" t="0" r="7620" b="0"/>
            <wp:wrapTopAndBottom/>
            <wp:docPr id="268" name="IM 268"/>
            <wp:cNvGraphicFramePr/>
            <a:graphic xmlns:a="http://schemas.openxmlformats.org/drawingml/2006/main">
              <a:graphicData uri="http://schemas.openxmlformats.org/drawingml/2006/picture">
                <pic:pic xmlns:pic="http://schemas.openxmlformats.org/drawingml/2006/picture">
                  <pic:nvPicPr>
                    <pic:cNvPr id="268" name="IM 268"/>
                    <pic:cNvPicPr/>
                  </pic:nvPicPr>
                  <pic:blipFill>
                    <a:blip r:embed="rId9"/>
                    <a:stretch>
                      <a:fillRect/>
                    </a:stretch>
                  </pic:blipFill>
                  <pic:spPr>
                    <a:xfrm>
                      <a:off x="0" y="0"/>
                      <a:ext cx="3688080" cy="2476500"/>
                    </a:xfrm>
                    <a:prstGeom prst="rect">
                      <a:avLst/>
                    </a:prstGeom>
                  </pic:spPr>
                </pic:pic>
              </a:graphicData>
            </a:graphic>
          </wp:anchor>
        </w:drawing>
      </w:r>
      <w:r>
        <w:t>图1</w:t>
      </w:r>
      <w:r>
        <w:rPr>
          <w:rFonts w:hint="eastAsia"/>
          <w:lang w:val="en-US" w:eastAsia="zh-CN"/>
        </w:rPr>
        <w:t>4</w:t>
      </w:r>
      <w:r>
        <w:t>-2遥测站设备基本配置图</w:t>
      </w:r>
    </w:p>
    <w:p>
      <w:pPr>
        <w:pStyle w:val="6"/>
        <w:bidi w:val="0"/>
      </w:pPr>
      <w:r>
        <w:t>1</w:t>
      </w:r>
      <w:r>
        <w:rPr>
          <w:rFonts w:hint="eastAsia"/>
          <w:lang w:val="en-US" w:eastAsia="zh-CN"/>
        </w:rPr>
        <w:t>4</w:t>
      </w:r>
      <w:r>
        <w:t>.4.3.5监测站终端设备</w:t>
      </w:r>
    </w:p>
    <w:p>
      <w:pPr>
        <w:bidi w:val="0"/>
      </w:pPr>
      <w:r>
        <w:t>监测站设备由遥测终端机、水位计、雨量计、图像摄像头(含LED补光灯)、量水堰、太阳能板、蓄电池、充电控制器、避雷设备及监控立杆等组成。</w:t>
      </w:r>
    </w:p>
    <w:p>
      <w:pPr>
        <w:pStyle w:val="6"/>
        <w:bidi w:val="0"/>
        <w:rPr>
          <w:rStyle w:val="20"/>
        </w:rPr>
      </w:pPr>
      <w:r>
        <w:rPr>
          <w:rStyle w:val="20"/>
        </w:rPr>
        <w:t>1</w:t>
      </w:r>
      <w:r>
        <w:rPr>
          <w:rStyle w:val="20"/>
          <w:rFonts w:hint="eastAsia"/>
          <w:lang w:val="en-US" w:eastAsia="zh-CN"/>
        </w:rPr>
        <w:t>4</w:t>
      </w:r>
      <w:r>
        <w:rPr>
          <w:rStyle w:val="20"/>
        </w:rPr>
        <w:t>.4.3.6电源设计</w:t>
      </w:r>
    </w:p>
    <w:p>
      <w:pPr>
        <w:bidi w:val="0"/>
      </w:pPr>
      <w:r>
        <w:t>根据广东省年平均日照时数1700小时左右的特点，“四要素”监测站点太阳能板设计功率采用</w:t>
      </w:r>
      <w:r>
        <w:rPr>
          <w:rFonts w:hint="eastAsia"/>
          <w:lang w:val="en-US" w:eastAsia="zh-CN"/>
        </w:rPr>
        <w:t>6</w:t>
      </w:r>
      <w:r>
        <w:t>0W，蓄电池采用</w:t>
      </w:r>
      <w:r>
        <w:rPr>
          <w:rFonts w:hint="eastAsia"/>
        </w:rPr>
        <w:t>100AH</w:t>
      </w:r>
      <w:r>
        <w:t>。保证遭遇连续40天以上的阴雨天气设备仍能正常工作。</w:t>
      </w:r>
    </w:p>
    <w:p>
      <w:pPr>
        <w:pStyle w:val="6"/>
        <w:bidi w:val="0"/>
      </w:pPr>
      <w:r>
        <w:t>1</w:t>
      </w:r>
      <w:r>
        <w:rPr>
          <w:rFonts w:hint="eastAsia"/>
          <w:lang w:val="en-US" w:eastAsia="zh-CN"/>
        </w:rPr>
        <w:t>4</w:t>
      </w:r>
      <w:r>
        <w:t>.4.3.7防雷设计</w:t>
      </w:r>
    </w:p>
    <w:p>
      <w:pPr>
        <w:bidi w:val="0"/>
      </w:pPr>
      <w:r>
        <w:t>在“四要素”监测系统中，防雷是个重要和必须解决的问题。在电源线和信号线的进出端且紧靠设备处安装相应的防雷器。经调研，系统的防雷设计在绝大多数情况下能够保证设备安全。在实际施工时，根据水库的具体情况，如果处于雷击频发区，则应加强防雷设施的建设。水库“四要素”监测站防雷接线见以下示意图1</w:t>
      </w:r>
      <w:r>
        <w:rPr>
          <w:rFonts w:hint="eastAsia"/>
          <w:lang w:val="en-US" w:eastAsia="zh-CN"/>
        </w:rPr>
        <w:t>4</w:t>
      </w:r>
      <w:r>
        <w:t>-3。</w:t>
      </w:r>
    </w:p>
    <w:p>
      <w:r>
        <w:br w:type="page"/>
      </w:r>
    </w:p>
    <w:p>
      <w:pPr>
        <w:pStyle w:val="3"/>
        <w:jc w:val="center"/>
      </w:pPr>
      <w:r>
        <w:drawing>
          <wp:anchor distT="0" distB="0" distL="0" distR="0" simplePos="0" relativeHeight="251670528" behindDoc="0" locked="0" layoutInCell="1" allowOverlap="1">
            <wp:simplePos x="0" y="0"/>
            <wp:positionH relativeFrom="column">
              <wp:posOffset>465455</wp:posOffset>
            </wp:positionH>
            <wp:positionV relativeFrom="page">
              <wp:posOffset>998220</wp:posOffset>
            </wp:positionV>
            <wp:extent cx="4335780" cy="3031490"/>
            <wp:effectExtent l="0" t="0" r="7620" b="16510"/>
            <wp:wrapTopAndBottom/>
            <wp:docPr id="269" name="IM 269"/>
            <wp:cNvGraphicFramePr/>
            <a:graphic xmlns:a="http://schemas.openxmlformats.org/drawingml/2006/main">
              <a:graphicData uri="http://schemas.openxmlformats.org/drawingml/2006/picture">
                <pic:pic xmlns:pic="http://schemas.openxmlformats.org/drawingml/2006/picture">
                  <pic:nvPicPr>
                    <pic:cNvPr id="269" name="IM 269"/>
                    <pic:cNvPicPr/>
                  </pic:nvPicPr>
                  <pic:blipFill>
                    <a:blip r:embed="rId10"/>
                    <a:stretch>
                      <a:fillRect/>
                    </a:stretch>
                  </pic:blipFill>
                  <pic:spPr>
                    <a:xfrm>
                      <a:off x="0" y="0"/>
                      <a:ext cx="4335780" cy="3031490"/>
                    </a:xfrm>
                    <a:prstGeom prst="rect">
                      <a:avLst/>
                    </a:prstGeom>
                  </pic:spPr>
                </pic:pic>
              </a:graphicData>
            </a:graphic>
          </wp:anchor>
        </w:drawing>
      </w:r>
      <w:r>
        <w:t>图1</w:t>
      </w:r>
      <w:r>
        <w:rPr>
          <w:rFonts w:hint="eastAsia"/>
          <w:lang w:val="en-US" w:eastAsia="zh-CN"/>
        </w:rPr>
        <w:t>4</w:t>
      </w:r>
      <w:r>
        <w:t>-3水库“四要素”监测站防雷接线示意图</w:t>
      </w:r>
    </w:p>
    <w:p>
      <w:pPr>
        <w:pStyle w:val="4"/>
        <w:bidi w:val="0"/>
      </w:pPr>
      <w:bookmarkStart w:id="18" w:name="_Toc1316873402_WPSOffice_Level1"/>
      <w:r>
        <w:t>1</w:t>
      </w:r>
      <w:r>
        <w:rPr>
          <w:rFonts w:hint="eastAsia"/>
          <w:lang w:val="en-US" w:eastAsia="zh-CN"/>
        </w:rPr>
        <w:t>4</w:t>
      </w:r>
      <w:r>
        <w:t>.5网络信息安全</w:t>
      </w:r>
      <w:bookmarkEnd w:id="18"/>
    </w:p>
    <w:p>
      <w:pPr>
        <w:pStyle w:val="5"/>
        <w:bidi w:val="0"/>
      </w:pPr>
      <w:r>
        <w:t>1</w:t>
      </w:r>
      <w:r>
        <w:rPr>
          <w:rFonts w:hint="eastAsia"/>
          <w:lang w:val="en-US" w:eastAsia="zh-CN"/>
        </w:rPr>
        <w:t>4</w:t>
      </w:r>
      <w:r>
        <w:t>.5.1网络安全体系目标</w:t>
      </w:r>
    </w:p>
    <w:p>
      <w:pPr>
        <w:bidi w:val="0"/>
      </w:pPr>
      <w:r>
        <w:t>信息化系统安全体系需要达到《信息系统安全等级保护基本要求》(GB/T22239-2008)三级的要求，根据安全架构体系，设计水利信息系统安全架构目标包括：</w:t>
      </w:r>
    </w:p>
    <w:p>
      <w:pPr>
        <w:bidi w:val="0"/>
      </w:pPr>
      <w:r>
        <w:t>(1)终端安全，防病毒安全，网络安全。</w:t>
      </w:r>
    </w:p>
    <w:p>
      <w:pPr>
        <w:bidi w:val="0"/>
      </w:pPr>
      <w:r>
        <w:t>(2)数据安全，包括：数据备份和恢复能力，数据保密能力，数据库帐户和密码管理能力。</w:t>
      </w:r>
    </w:p>
    <w:p>
      <w:pPr>
        <w:bidi w:val="0"/>
      </w:pPr>
      <w:r>
        <w:t>(3)应用安全，包括：系统建设过程中安全控制能力，容灾备份能力，风险管理能力，系统安全监控能力，系统安全审计能力，应用系统帐户和密码管理能力。</w:t>
      </w:r>
    </w:p>
    <w:p>
      <w:pPr>
        <w:bidi w:val="0"/>
      </w:pPr>
      <w:r>
        <w:t>(4)服务器安全，包括统一的服务器安全配置能力，统一的安全监控能力，服务器帐户和密码管理能力。</w:t>
      </w:r>
    </w:p>
    <w:p>
      <w:pPr>
        <w:bidi w:val="0"/>
      </w:pPr>
      <w:r>
        <w:t>(5)物理安全，物理安全是指机房物理环境达到国家信息系统安全和信息安全相关规定的要求。</w:t>
      </w:r>
    </w:p>
    <w:p>
      <w:pPr>
        <w:pStyle w:val="5"/>
        <w:bidi w:val="0"/>
      </w:pPr>
      <w:r>
        <w:t>1</w:t>
      </w:r>
      <w:r>
        <w:rPr>
          <w:rFonts w:hint="eastAsia"/>
          <w:lang w:val="en-US" w:eastAsia="zh-CN"/>
        </w:rPr>
        <w:t>4</w:t>
      </w:r>
      <w:r>
        <w:t>.5.2网络安全架构体系</w:t>
      </w:r>
    </w:p>
    <w:p>
      <w:pPr>
        <w:bidi w:val="0"/>
      </w:pPr>
      <w:r>
        <w:t>(1)安全策略体系是整个信息安全体系的核心，为整个信息安全体系提供指导和支持。包括：信息安全的目标和愿景、方针、策略、规范、标准、流程和指南等，并通过在组织内对安全策略的发布和落实来保证对信息安全的承诺与支持。</w:t>
      </w:r>
    </w:p>
    <w:p>
      <w:pPr>
        <w:bidi w:val="0"/>
      </w:pPr>
      <w:r>
        <w:t>(2)安全组织体系保证策略体系、运作体系和技术体系在组织内部顺利开展和实施，是整个安全体系的管理基础。包括：安全组织结构建立、安全角色和职责划分、入员安全管理、安全培训和教育等。</w:t>
      </w:r>
    </w:p>
    <w:p>
      <w:pPr>
        <w:bidi w:val="0"/>
      </w:pPr>
      <w:r>
        <w:t>(3)安全运作体系是整个安全体系的执行环节，保证安全体系的有效性和可操作性，是整个安全体系的实施基础。包括：在业务和管理各个方面、在信息系统建设的各个阶段采取的所有安全措施和操作。</w:t>
      </w:r>
    </w:p>
    <w:p>
      <w:pPr>
        <w:bidi w:val="0"/>
      </w:pPr>
      <w:r>
        <w:t>(4)安全技术体系提供安全体系的技术手段和工具，是整个安全体系的技术基础。包括：物理安全、网络安全、终端安全、服务器安全、防病毒安全、应用安全和数据安全等。</w:t>
      </w:r>
    </w:p>
    <w:p>
      <w:pPr>
        <w:pStyle w:val="6"/>
        <w:bidi w:val="0"/>
      </w:pPr>
      <w:r>
        <w:t>1</w:t>
      </w:r>
      <w:r>
        <w:rPr>
          <w:rFonts w:hint="eastAsia"/>
          <w:lang w:val="en-US" w:eastAsia="zh-CN"/>
        </w:rPr>
        <w:t>4</w:t>
      </w:r>
      <w:r>
        <w:t>.5.2.1安全保障系统架构建设</w:t>
      </w:r>
    </w:p>
    <w:p>
      <w:pPr>
        <w:bidi w:val="0"/>
      </w:pPr>
      <w:r>
        <w:t>信息化建设，需要考虑相关安全防护，依据安全保护等级三级的要求需在对系统服务器边界访问控制、网络攻击、网络访问控制等方面进行安全建设。</w:t>
      </w:r>
    </w:p>
    <w:p>
      <w:pPr>
        <w:pStyle w:val="6"/>
        <w:bidi w:val="0"/>
      </w:pPr>
      <w:r>
        <w:rPr>
          <w:rFonts w:hint="eastAsia"/>
          <w:lang w:eastAsia="zh-CN"/>
        </w:rPr>
        <w:t>14</w:t>
      </w:r>
      <w:r>
        <w:t>.5.2.2网络安全建设</w:t>
      </w:r>
    </w:p>
    <w:p>
      <w:pPr>
        <w:bidi w:val="0"/>
      </w:pPr>
      <w:r>
        <w:t>根据等级保护要求需对上述区域进行安全防护，需部署相应网络安全产品。本项目相关服务设备部署在云平台，并且云平台已部署网络安全等防护设备，因此本系统安全防护主要利用云平台现有的安全网关和安全隔离设备做相关边界防护，阻止未经授权的用户访问系统平台。</w:t>
      </w:r>
    </w:p>
    <w:p>
      <w:pPr>
        <w:pStyle w:val="6"/>
        <w:bidi w:val="0"/>
      </w:pPr>
      <w:r>
        <w:rPr>
          <w:rFonts w:hint="eastAsia"/>
          <w:lang w:eastAsia="zh-CN"/>
        </w:rPr>
        <w:t>14</w:t>
      </w:r>
      <w:r>
        <w:t>.5.2.3主机安全建设</w:t>
      </w:r>
    </w:p>
    <w:p>
      <w:pPr>
        <w:bidi w:val="0"/>
      </w:pPr>
      <w:r>
        <w:t>主机系统安全是包括服务器、终端／工作站等在内的计算机设备在操作系统及数据库系统层面的安全。终端／工作站是带外设的台式机与笔记本计算机，服务器则包括应用程序、网络、web、文件与通信等服务器。主机系统是构成信息系统的主要部分，其上承载着各种应用。因此，主机系统安全是保护信息系统安全的中坚力量。</w:t>
      </w:r>
    </w:p>
    <w:p>
      <w:pPr>
        <w:bidi w:val="0"/>
      </w:pPr>
      <w:r>
        <w:t>主机安全主要涉及的安全控制点包括：对主机进行基本的安全防护，实现安全审计和资源控制，实现身份鉴别和访问控制、恶意代码统一管理等。</w:t>
      </w:r>
    </w:p>
    <w:p>
      <w:pPr>
        <w:pStyle w:val="6"/>
        <w:bidi w:val="0"/>
      </w:pPr>
      <w:r>
        <w:rPr>
          <w:rFonts w:hint="eastAsia"/>
          <w:lang w:eastAsia="zh-CN"/>
        </w:rPr>
        <w:t>14</w:t>
      </w:r>
      <w:r>
        <w:t>.5.2.4应用安全建设</w:t>
      </w:r>
    </w:p>
    <w:p>
      <w:pPr>
        <w:bidi w:val="0"/>
      </w:pPr>
      <w:r>
        <w:t>应用安全主要涉及的安全控制点包括：身份鉴别、访问控制、安全审计、通信完整性、通信保密性、软件容错、资源控制等。具体要求：身份鉴别要求加强，要求组合鉴别技术；安全审计要进行综合分析等；对通信过程的完整性提出了特定密码保护的要求；应用软件自身的安全性要求进一步增强，软件容错能力增强，增加自动保护功能。</w:t>
      </w:r>
    </w:p>
    <w:p>
      <w:pPr>
        <w:bidi w:val="0"/>
      </w:pPr>
      <w:r>
        <w:t>本项目利用云平台的数据库审计、安全审计、防火墙等服务。满足三级身份鉴别、访问控制、安全审计等方面的要求。</w:t>
      </w:r>
    </w:p>
    <w:p>
      <w:pPr>
        <w:pStyle w:val="6"/>
        <w:bidi w:val="0"/>
      </w:pPr>
      <w:r>
        <w:rPr>
          <w:rFonts w:hint="eastAsia"/>
          <w:lang w:eastAsia="zh-CN"/>
        </w:rPr>
        <w:t>14</w:t>
      </w:r>
      <w:r>
        <w:t>.5.2.5数据安全与备份恢复建设</w:t>
      </w:r>
    </w:p>
    <w:p>
      <w:pPr>
        <w:bidi w:val="0"/>
      </w:pPr>
      <w:r>
        <w:t>信息化系统处理的各种数据(用户数据、系统数据、业务数据等)对维持系统正常运行起着至关重要的作用。一旦数据遭到破坏(泄漏、修改、毁坏)，都会在不同程度上造成影响，从而危害到系统的正常运行。由于信息化系统的各个层面(网络、主机、应用等)都对各类数据进行传输、存储和处理等，因此，对数据的保护需要物理环境、网络、数据库和操作系统、应用程序等提供支持。</w:t>
      </w:r>
    </w:p>
    <w:p>
      <w:pPr>
        <w:bidi w:val="0"/>
      </w:pPr>
      <w:r>
        <w:t>系统的数据安全和备份恢复主要从：数据完整性、数据保密性、备份和恢复等三个控制点考虑。</w:t>
      </w:r>
    </w:p>
    <w:p>
      <w:pPr>
        <w:bidi w:val="0"/>
      </w:pPr>
      <w:r>
        <w:t>三级数据安全与备份恢复，一方面要能够检测出数据完整性受到破坏，同时能够对重要信息进行备份。另一方面，要求鉴别信息和重要业务数据在传输过程中都要保证其完整性，对数据保密性要求实现鉴别信息存储保密性，数据备份增强，要求一定的硬件冗余。</w:t>
      </w:r>
    </w:p>
    <w:p>
      <w:pPr>
        <w:bidi w:val="0"/>
      </w:pPr>
      <w:r>
        <w:t>本项目通过设置实现间隔一段时间数据备份，并通过网络传输到指定位置实现保存。传输的数据可基于远程安全接入平台(SSLVPN)保障数据传输安全。</w:t>
      </w:r>
    </w:p>
    <w:p>
      <w:pPr>
        <w:pStyle w:val="4"/>
        <w:bidi w:val="0"/>
      </w:pPr>
      <w:bookmarkStart w:id="19" w:name="_Toc1452677359_WPSOffice_Level1"/>
      <w:r>
        <w:rPr>
          <w:rFonts w:hint="eastAsia"/>
          <w:lang w:eastAsia="zh-CN"/>
        </w:rPr>
        <w:t>14</w:t>
      </w:r>
      <w:r>
        <w:t>.6系统集成与运行维护</w:t>
      </w:r>
      <w:bookmarkEnd w:id="19"/>
    </w:p>
    <w:p>
      <w:pPr>
        <w:pStyle w:val="5"/>
        <w:bidi w:val="0"/>
      </w:pPr>
      <w:r>
        <w:rPr>
          <w:rFonts w:hint="eastAsia"/>
          <w:lang w:eastAsia="zh-CN"/>
        </w:rPr>
        <w:t>14</w:t>
      </w:r>
      <w:r>
        <w:t>.6.1安装内容概述</w:t>
      </w:r>
    </w:p>
    <w:p>
      <w:pPr>
        <w:spacing w:before="78" w:line="376" w:lineRule="auto"/>
        <w:ind w:left="24" w:right="6" w:firstLine="481"/>
        <w:rPr>
          <w:rFonts w:ascii="宋体" w:hAnsi="宋体" w:eastAsia="宋体" w:cs="宋体"/>
          <w:spacing w:val="-6"/>
          <w:sz w:val="24"/>
          <w:szCs w:val="24"/>
        </w:rPr>
      </w:pPr>
      <w:r>
        <w:rPr>
          <w:rFonts w:ascii="宋体" w:hAnsi="宋体" w:eastAsia="宋体" w:cs="宋体"/>
          <w:spacing w:val="-6"/>
          <w:sz w:val="24"/>
          <w:szCs w:val="24"/>
        </w:rPr>
        <w:t>经过对各类水库的</w:t>
      </w:r>
      <w:r>
        <w:rPr>
          <w:rFonts w:ascii="宋体" w:hAnsi="宋体" w:eastAsia="宋体" w:cs="宋体"/>
          <w:spacing w:val="-4"/>
          <w:sz w:val="24"/>
          <w:szCs w:val="24"/>
        </w:rPr>
        <w:t>调</w:t>
      </w:r>
      <w:r>
        <w:rPr>
          <w:rFonts w:ascii="宋体" w:hAnsi="宋体" w:eastAsia="宋体" w:cs="宋体"/>
          <w:spacing w:val="-3"/>
          <w:sz w:val="24"/>
          <w:szCs w:val="24"/>
        </w:rPr>
        <w:t>研，水库“四要素”监测站的遥测终端机、水位计、雨</w:t>
      </w:r>
      <w:r>
        <w:rPr>
          <w:rFonts w:ascii="宋体" w:hAnsi="宋体" w:eastAsia="宋体" w:cs="宋体"/>
          <w:spacing w:val="-12"/>
          <w:sz w:val="24"/>
          <w:szCs w:val="24"/>
        </w:rPr>
        <w:t>量</w:t>
      </w:r>
      <w:r>
        <w:rPr>
          <w:rFonts w:ascii="宋体" w:hAnsi="宋体" w:eastAsia="宋体" w:cs="宋体"/>
          <w:spacing w:val="-7"/>
          <w:sz w:val="24"/>
          <w:szCs w:val="24"/>
        </w:rPr>
        <w:t>计</w:t>
      </w:r>
      <w:r>
        <w:rPr>
          <w:rFonts w:ascii="宋体" w:hAnsi="宋体" w:eastAsia="宋体" w:cs="宋体"/>
          <w:spacing w:val="-6"/>
          <w:sz w:val="24"/>
          <w:szCs w:val="24"/>
        </w:rPr>
        <w:t>、图像摄像头、供电系统等设备均安装在一个竖杆之上，而渗流量监测设备</w:t>
      </w:r>
      <w:r>
        <w:rPr>
          <w:rFonts w:ascii="宋体" w:hAnsi="宋体" w:eastAsia="宋体" w:cs="宋体"/>
          <w:spacing w:val="7"/>
          <w:sz w:val="24"/>
          <w:szCs w:val="24"/>
        </w:rPr>
        <w:t>则</w:t>
      </w:r>
      <w:r>
        <w:rPr>
          <w:rFonts w:ascii="宋体" w:hAnsi="宋体" w:eastAsia="宋体" w:cs="宋体"/>
          <w:spacing w:val="4"/>
          <w:sz w:val="24"/>
          <w:szCs w:val="24"/>
        </w:rPr>
        <w:t>单独安装于大坝背水坡集渗沟末端。安装杆的材质通常选用镀锌管或水泥杆</w:t>
      </w:r>
      <w:r>
        <w:rPr>
          <w:rFonts w:ascii="宋体" w:hAnsi="宋体" w:eastAsia="宋体" w:cs="宋体"/>
          <w:spacing w:val="-12"/>
          <w:sz w:val="24"/>
          <w:szCs w:val="24"/>
        </w:rPr>
        <w:t>等</w:t>
      </w:r>
      <w:r>
        <w:rPr>
          <w:rFonts w:ascii="宋体" w:hAnsi="宋体" w:eastAsia="宋体" w:cs="宋体"/>
          <w:spacing w:val="-7"/>
          <w:sz w:val="24"/>
          <w:szCs w:val="24"/>
        </w:rPr>
        <w:t>。</w:t>
      </w:r>
      <w:r>
        <w:rPr>
          <w:rFonts w:ascii="宋体" w:hAnsi="宋体" w:eastAsia="宋体" w:cs="宋体"/>
          <w:spacing w:val="-6"/>
          <w:sz w:val="24"/>
          <w:szCs w:val="24"/>
        </w:rPr>
        <w:t>安装简便快捷，并且具有安全、防雷、防盗、便于维护的特点。</w:t>
      </w:r>
    </w:p>
    <w:p>
      <w:pPr>
        <w:spacing w:before="78" w:line="376" w:lineRule="auto"/>
        <w:ind w:left="24" w:right="6" w:firstLine="481"/>
        <w:rPr>
          <w:rFonts w:ascii="宋体" w:hAnsi="宋体" w:eastAsia="宋体" w:cs="宋体"/>
          <w:spacing w:val="-7"/>
          <w:sz w:val="24"/>
          <w:szCs w:val="24"/>
        </w:rPr>
      </w:pPr>
      <w:r>
        <w:drawing>
          <wp:anchor distT="0" distB="0" distL="0" distR="0" simplePos="0" relativeHeight="251671552" behindDoc="0" locked="0" layoutInCell="1" allowOverlap="1">
            <wp:simplePos x="0" y="0"/>
            <wp:positionH relativeFrom="column">
              <wp:posOffset>527050</wp:posOffset>
            </wp:positionH>
            <wp:positionV relativeFrom="page">
              <wp:posOffset>4450080</wp:posOffset>
            </wp:positionV>
            <wp:extent cx="4269740" cy="3327400"/>
            <wp:effectExtent l="0" t="0" r="16510" b="6350"/>
            <wp:wrapTopAndBottom/>
            <wp:docPr id="271" name="IM 271"/>
            <wp:cNvGraphicFramePr/>
            <a:graphic xmlns:a="http://schemas.openxmlformats.org/drawingml/2006/main">
              <a:graphicData uri="http://schemas.openxmlformats.org/drawingml/2006/picture">
                <pic:pic xmlns:pic="http://schemas.openxmlformats.org/drawingml/2006/picture">
                  <pic:nvPicPr>
                    <pic:cNvPr id="271" name="IM 271"/>
                    <pic:cNvPicPr/>
                  </pic:nvPicPr>
                  <pic:blipFill>
                    <a:blip r:embed="rId11"/>
                    <a:stretch>
                      <a:fillRect/>
                    </a:stretch>
                  </pic:blipFill>
                  <pic:spPr>
                    <a:xfrm>
                      <a:off x="0" y="0"/>
                      <a:ext cx="4269740" cy="3327400"/>
                    </a:xfrm>
                    <a:prstGeom prst="rect">
                      <a:avLst/>
                    </a:prstGeom>
                  </pic:spPr>
                </pic:pic>
              </a:graphicData>
            </a:graphic>
          </wp:anchor>
        </w:drawing>
      </w:r>
      <w:r>
        <w:rPr>
          <w:rFonts w:ascii="宋体" w:hAnsi="宋体" w:eastAsia="宋体" w:cs="宋体"/>
          <w:spacing w:val="-6"/>
          <w:sz w:val="24"/>
          <w:szCs w:val="24"/>
        </w:rPr>
        <w:t>水库“四要素”</w:t>
      </w:r>
      <w:r>
        <w:rPr>
          <w:rFonts w:ascii="宋体" w:hAnsi="宋体" w:eastAsia="宋体" w:cs="宋体"/>
          <w:spacing w:val="-3"/>
          <w:sz w:val="24"/>
          <w:szCs w:val="24"/>
        </w:rPr>
        <w:t>监测站设备实物如下图</w:t>
      </w:r>
      <w:r>
        <w:rPr>
          <w:rFonts w:hint="eastAsia" w:ascii="Times New Roman" w:hAnsi="Times New Roman" w:eastAsia="宋体" w:cs="Times New Roman"/>
          <w:spacing w:val="-3"/>
          <w:sz w:val="24"/>
          <w:szCs w:val="24"/>
          <w:lang w:eastAsia="zh-CN"/>
        </w:rPr>
        <w:t>14</w:t>
      </w:r>
      <w:r>
        <w:rPr>
          <w:rFonts w:ascii="Times New Roman" w:hAnsi="Times New Roman" w:eastAsia="Times New Roman" w:cs="Times New Roman"/>
          <w:spacing w:val="-3"/>
          <w:sz w:val="24"/>
          <w:szCs w:val="24"/>
        </w:rPr>
        <w:t>-5</w:t>
      </w:r>
      <w:r>
        <w:rPr>
          <w:rFonts w:ascii="宋体" w:hAnsi="宋体" w:eastAsia="宋体" w:cs="宋体"/>
          <w:spacing w:val="-3"/>
          <w:sz w:val="24"/>
          <w:szCs w:val="24"/>
        </w:rPr>
        <w:t>所示、小型水库“三要素”、“四要素”监测</w:t>
      </w:r>
      <w:r>
        <w:rPr>
          <w:rFonts w:ascii="宋体" w:hAnsi="宋体" w:eastAsia="宋体" w:cs="宋体"/>
          <w:spacing w:val="-14"/>
          <w:sz w:val="24"/>
          <w:szCs w:val="24"/>
        </w:rPr>
        <w:t>站安</w:t>
      </w:r>
      <w:r>
        <w:rPr>
          <w:rFonts w:ascii="宋体" w:hAnsi="宋体" w:eastAsia="宋体" w:cs="宋体"/>
          <w:spacing w:val="-10"/>
          <w:sz w:val="24"/>
          <w:szCs w:val="24"/>
        </w:rPr>
        <w:t>装</w:t>
      </w:r>
      <w:r>
        <w:rPr>
          <w:rFonts w:ascii="宋体" w:hAnsi="宋体" w:eastAsia="宋体" w:cs="宋体"/>
          <w:spacing w:val="-7"/>
          <w:sz w:val="24"/>
          <w:szCs w:val="24"/>
        </w:rPr>
        <w:t>典型如下图</w:t>
      </w:r>
      <w:r>
        <w:rPr>
          <w:rFonts w:hint="eastAsia" w:ascii="Times New Roman" w:hAnsi="Times New Roman" w:eastAsia="宋体" w:cs="Times New Roman"/>
          <w:spacing w:val="-7"/>
          <w:sz w:val="24"/>
          <w:szCs w:val="24"/>
          <w:lang w:eastAsia="zh-CN"/>
        </w:rPr>
        <w:t>14</w:t>
      </w:r>
      <w:r>
        <w:rPr>
          <w:rFonts w:ascii="Times New Roman" w:hAnsi="Times New Roman" w:eastAsia="Times New Roman" w:cs="Times New Roman"/>
          <w:spacing w:val="-7"/>
          <w:sz w:val="24"/>
          <w:szCs w:val="24"/>
        </w:rPr>
        <w:t>-6</w:t>
      </w:r>
      <w:r>
        <w:rPr>
          <w:rFonts w:ascii="宋体" w:hAnsi="宋体" w:eastAsia="宋体" w:cs="宋体"/>
          <w:spacing w:val="-7"/>
          <w:sz w:val="24"/>
          <w:szCs w:val="24"/>
        </w:rPr>
        <w:t>、图</w:t>
      </w:r>
      <w:r>
        <w:rPr>
          <w:rFonts w:hint="eastAsia" w:ascii="Times New Roman" w:hAnsi="Times New Roman" w:eastAsia="宋体" w:cs="Times New Roman"/>
          <w:spacing w:val="-7"/>
          <w:sz w:val="24"/>
          <w:szCs w:val="24"/>
          <w:lang w:eastAsia="zh-CN"/>
        </w:rPr>
        <w:t>14</w:t>
      </w:r>
      <w:r>
        <w:rPr>
          <w:rFonts w:ascii="Times New Roman" w:hAnsi="Times New Roman" w:eastAsia="Times New Roman" w:cs="Times New Roman"/>
          <w:spacing w:val="-7"/>
          <w:sz w:val="24"/>
          <w:szCs w:val="24"/>
        </w:rPr>
        <w:t>-7</w:t>
      </w:r>
      <w:r>
        <w:rPr>
          <w:rFonts w:ascii="宋体" w:hAnsi="宋体" w:eastAsia="宋体" w:cs="宋体"/>
          <w:spacing w:val="-7"/>
          <w:sz w:val="24"/>
          <w:szCs w:val="24"/>
        </w:rPr>
        <w:t>所示。</w:t>
      </w:r>
    </w:p>
    <w:p>
      <w:pPr>
        <w:bidi w:val="0"/>
        <w:ind w:left="0" w:leftChars="0" w:firstLine="0" w:firstLineChars="0"/>
        <w:jc w:val="center"/>
      </w:pPr>
      <w:r>
        <w:t>图1</w:t>
      </w:r>
      <w:r>
        <w:rPr>
          <w:rFonts w:hint="eastAsia"/>
          <w:lang w:val="en-US" w:eastAsia="zh-CN"/>
        </w:rPr>
        <w:t>4</w:t>
      </w:r>
      <w:r>
        <w:t>-5水库“四要素”监测站设备实物图</w:t>
      </w:r>
    </w:p>
    <w:p>
      <w:r>
        <w:br w:type="page"/>
      </w:r>
    </w:p>
    <w:p>
      <w:pPr>
        <w:bidi w:val="0"/>
        <w:ind w:left="0" w:leftChars="0" w:firstLine="0" w:firstLineChars="0"/>
        <w:jc w:val="center"/>
      </w:pPr>
      <w:r>
        <w:drawing>
          <wp:anchor distT="0" distB="0" distL="0" distR="0" simplePos="0" relativeHeight="251672576" behindDoc="0" locked="0" layoutInCell="1" allowOverlap="1">
            <wp:simplePos x="0" y="0"/>
            <wp:positionH relativeFrom="column">
              <wp:posOffset>880745</wp:posOffset>
            </wp:positionH>
            <wp:positionV relativeFrom="page">
              <wp:posOffset>1022350</wp:posOffset>
            </wp:positionV>
            <wp:extent cx="3471545" cy="3640455"/>
            <wp:effectExtent l="0" t="0" r="14605" b="17145"/>
            <wp:wrapTopAndBottom/>
            <wp:docPr id="272" name="IM 272"/>
            <wp:cNvGraphicFramePr/>
            <a:graphic xmlns:a="http://schemas.openxmlformats.org/drawingml/2006/main">
              <a:graphicData uri="http://schemas.openxmlformats.org/drawingml/2006/picture">
                <pic:pic xmlns:pic="http://schemas.openxmlformats.org/drawingml/2006/picture">
                  <pic:nvPicPr>
                    <pic:cNvPr id="272" name="IM 272"/>
                    <pic:cNvPicPr/>
                  </pic:nvPicPr>
                  <pic:blipFill>
                    <a:blip r:embed="rId12"/>
                    <a:srcRect l="5758" t="4021" r="6065" b="21611"/>
                    <a:stretch>
                      <a:fillRect/>
                    </a:stretch>
                  </pic:blipFill>
                  <pic:spPr>
                    <a:xfrm>
                      <a:off x="0" y="0"/>
                      <a:ext cx="3471545" cy="3640455"/>
                    </a:xfrm>
                    <a:prstGeom prst="rect">
                      <a:avLst/>
                    </a:prstGeom>
                  </pic:spPr>
                </pic:pic>
              </a:graphicData>
            </a:graphic>
          </wp:anchor>
        </w:drawing>
      </w:r>
      <w:r>
        <w:t>图1</w:t>
      </w:r>
      <w:r>
        <w:rPr>
          <w:rFonts w:hint="eastAsia"/>
          <w:lang w:val="en-US" w:eastAsia="zh-CN"/>
        </w:rPr>
        <w:t>4</w:t>
      </w:r>
      <w:r>
        <w:t>-6水库“三要素”(水位、雨量、图像)监测站安装示意图</w:t>
      </w:r>
    </w:p>
    <w:p>
      <w:pPr>
        <w:bidi w:val="0"/>
        <w:ind w:left="0" w:leftChars="0" w:firstLine="0" w:firstLineChars="0"/>
        <w:jc w:val="center"/>
      </w:pPr>
      <w:r>
        <w:drawing>
          <wp:anchor distT="0" distB="0" distL="0" distR="0" simplePos="0" relativeHeight="251688960" behindDoc="0" locked="0" layoutInCell="1" allowOverlap="1">
            <wp:simplePos x="0" y="0"/>
            <wp:positionH relativeFrom="column">
              <wp:posOffset>1123315</wp:posOffset>
            </wp:positionH>
            <wp:positionV relativeFrom="page">
              <wp:posOffset>5272405</wp:posOffset>
            </wp:positionV>
            <wp:extent cx="3176270" cy="3629660"/>
            <wp:effectExtent l="0" t="0" r="5080" b="8890"/>
            <wp:wrapTopAndBottom/>
            <wp:docPr id="273" name="IM 273"/>
            <wp:cNvGraphicFramePr/>
            <a:graphic xmlns:a="http://schemas.openxmlformats.org/drawingml/2006/main">
              <a:graphicData uri="http://schemas.openxmlformats.org/drawingml/2006/picture">
                <pic:pic xmlns:pic="http://schemas.openxmlformats.org/drawingml/2006/picture">
                  <pic:nvPicPr>
                    <pic:cNvPr id="273" name="IM 273"/>
                    <pic:cNvPicPr/>
                  </pic:nvPicPr>
                  <pic:blipFill>
                    <a:blip r:embed="rId13"/>
                    <a:srcRect l="9561" t="4850" r="7002" b="15954"/>
                    <a:stretch>
                      <a:fillRect/>
                    </a:stretch>
                  </pic:blipFill>
                  <pic:spPr>
                    <a:xfrm>
                      <a:off x="0" y="0"/>
                      <a:ext cx="3176270" cy="3629660"/>
                    </a:xfrm>
                    <a:prstGeom prst="rect">
                      <a:avLst/>
                    </a:prstGeom>
                  </pic:spPr>
                </pic:pic>
              </a:graphicData>
            </a:graphic>
          </wp:anchor>
        </w:drawing>
      </w:r>
      <w:r>
        <w:t>图1</w:t>
      </w:r>
      <w:r>
        <w:rPr>
          <w:rFonts w:hint="eastAsia"/>
          <w:lang w:val="en-US" w:eastAsia="zh-CN"/>
        </w:rPr>
        <w:t>4</w:t>
      </w:r>
      <w:r>
        <w:t>-7水库“四要素”(渗流量)监测站安装示意图</w:t>
      </w:r>
    </w:p>
    <w:p>
      <w:pPr>
        <w:rPr>
          <w:rFonts w:hint="default"/>
          <w:lang w:val="en-US" w:eastAsia="zh-CN"/>
        </w:rPr>
      </w:pPr>
      <w:r>
        <w:rPr>
          <w:rFonts w:hint="default"/>
          <w:lang w:val="en-US" w:eastAsia="zh-CN"/>
        </w:rPr>
        <w:br w:type="page"/>
      </w:r>
    </w:p>
    <w:p>
      <w:pPr>
        <w:pStyle w:val="5"/>
        <w:bidi w:val="0"/>
      </w:pPr>
      <w:r>
        <w:rPr>
          <w:rFonts w:hint="eastAsia"/>
          <w:lang w:eastAsia="zh-CN"/>
        </w:rPr>
        <w:t>14</w:t>
      </w:r>
      <w:r>
        <w:t>.6.2安全运维</w:t>
      </w:r>
    </w:p>
    <w:p>
      <w:pPr>
        <w:pStyle w:val="6"/>
        <w:bidi w:val="0"/>
      </w:pPr>
      <w:r>
        <w:rPr>
          <w:rFonts w:hint="eastAsia"/>
          <w:lang w:eastAsia="zh-CN"/>
        </w:rPr>
        <w:t>14</w:t>
      </w:r>
      <w:r>
        <w:t>.6.2.1运行维护对象</w:t>
      </w:r>
    </w:p>
    <w:p>
      <w:pPr>
        <w:bidi w:val="0"/>
      </w:pPr>
      <w:r>
        <w:t>运行维护活动应完成下列各类基础设施的维护工作：</w:t>
      </w:r>
    </w:p>
    <w:p>
      <w:pPr>
        <w:bidi w:val="0"/>
      </w:pPr>
      <w:r>
        <w:t>(1)物理环境：信息系统运行的机房环境及机房辅助设施，主要包括机房、配线间、空调、UPS(UninterruptedPowerSupply,简称不间断电源)、供电系统、换气系统、除湿/加湿设备、防雷接地、消防、门禁、环境监控等。</w:t>
      </w:r>
    </w:p>
    <w:p>
      <w:pPr>
        <w:bidi w:val="0"/>
      </w:pPr>
      <w:r>
        <w:t>(2)信息采集设施：收集、传输和处理水情、雨情、工情、早情等各种水利信息的设施，主要包括各类传感器、传输设备和接收处理设备等。</w:t>
      </w:r>
    </w:p>
    <w:p>
      <w:pPr>
        <w:bidi w:val="0"/>
      </w:pPr>
      <w:r>
        <w:t>(3)通信系统：信息传输的通信设备及其附属设施，主要包括微波通信设备、卫星通信设备、光纤传输设备、程控交换设备等。</w:t>
      </w:r>
    </w:p>
    <w:p>
      <w:pPr>
        <w:bidi w:val="0"/>
      </w:pPr>
      <w:r>
        <w:t>(4)计算机网络：各类网络连接设备及数据传输线路，主要包括网络路由设备、网络交换设备、数据传输设备、流量管理设备、综合布线系统等。</w:t>
      </w:r>
    </w:p>
    <w:p>
      <w:pPr>
        <w:bidi w:val="0"/>
      </w:pPr>
      <w:r>
        <w:t>(5)主机：各类服务器及用户终端，主要包括小型计算机、服务器、虚拟服务器、台式计算机、便携式计算机、虚拟终端等。</w:t>
      </w:r>
    </w:p>
    <w:p>
      <w:pPr>
        <w:bidi w:val="0"/>
      </w:pPr>
      <w:r>
        <w:t>(6)存储备份：存储、备份水利信息系统信息的各类硬件设备及管理软件，主要包括存储网络设备、磁盘阵列、磁带库等硬件设备及存储管理系统、备份管理系统等管理软件。</w:t>
      </w:r>
    </w:p>
    <w:p>
      <w:pPr>
        <w:bidi w:val="0"/>
      </w:pPr>
      <w:r>
        <w:t>(7)基础软件：支持水利信息系统各类业务应用运行的支撑软件，主要包括数据库管理软件、中间件、GIS(GeographicInformationSystem,简称地理信息系统)平台软件等。</w:t>
      </w:r>
    </w:p>
    <w:p>
      <w:pPr>
        <w:bidi w:val="0"/>
      </w:pPr>
      <w:r>
        <w:t>(8)数据资源：水利信息系统运行所需的数据，主要包括文本、图片、动画、音视频等通用数据及水文、水资源等专用数据。</w:t>
      </w:r>
    </w:p>
    <w:p>
      <w:pPr>
        <w:bidi w:val="0"/>
      </w:pPr>
      <w:r>
        <w:t>(9)安全设施：水利信息系统安全防护的硬件设备及软件系统，主要包括安全防控设备、安全检测设备、用户认证设备等硬件设备及安全防控软件、安全检测软件、用户认证系统等软件。</w:t>
      </w:r>
    </w:p>
    <w:p>
      <w:pPr>
        <w:bidi w:val="0"/>
      </w:pPr>
      <w:r>
        <w:rPr>
          <w:rFonts w:hint="eastAsia"/>
          <w:lang w:val="en-US" w:eastAsia="zh-CN"/>
        </w:rPr>
        <w:t>(</w:t>
      </w:r>
      <w:r>
        <w:t>10)其他设施：水利信息系统其他基础设施，如工程视频、视频会议等。</w:t>
      </w:r>
    </w:p>
    <w:p>
      <w:pPr>
        <w:pStyle w:val="6"/>
        <w:bidi w:val="0"/>
      </w:pPr>
      <w:r>
        <w:rPr>
          <w:rFonts w:hint="eastAsia"/>
          <w:lang w:eastAsia="zh-CN"/>
        </w:rPr>
        <w:t>14</w:t>
      </w:r>
      <w:r>
        <w:t>.6.2.2运维服务队伍</w:t>
      </w:r>
    </w:p>
    <w:p>
      <w:pPr>
        <w:bidi w:val="0"/>
      </w:pPr>
      <w:bookmarkStart w:id="20" w:name="_Toc232126486_WPSOffice_Level1"/>
      <w:r>
        <w:t>一、人员组织</w:t>
      </w:r>
      <w:bookmarkEnd w:id="20"/>
    </w:p>
    <w:p>
      <w:pPr>
        <w:bidi w:val="0"/>
      </w:pPr>
      <w:r>
        <w:t>运行维护服务机构应成立专职的队伍负责运行维护工作。</w:t>
      </w:r>
    </w:p>
    <w:p>
      <w:pPr>
        <w:bidi w:val="0"/>
      </w:pPr>
      <w:r>
        <w:t>运行维护队伍宜由技术人员和管理人员组成，并根据工作内容配备相应专业技术人员。运行维护队伍宜根据运行维护工作对象类别分成多个专业服务组，各专业组分工协作，共同完成运行维护工作。</w:t>
      </w:r>
    </w:p>
    <w:p>
      <w:pPr>
        <w:bidi w:val="0"/>
      </w:pPr>
      <w:bookmarkStart w:id="21" w:name="_Toc1800254606_WPSOffice_Level1"/>
      <w:r>
        <w:t>二、工作模式</w:t>
      </w:r>
      <w:bookmarkEnd w:id="21"/>
    </w:p>
    <w:p>
      <w:pPr>
        <w:bidi w:val="0"/>
      </w:pPr>
      <w:r>
        <w:t>运行维护队伍应根据运行维护实际建立高效的工作模式，合理利用资源。</w:t>
      </w:r>
    </w:p>
    <w:p>
      <w:pPr>
        <w:bidi w:val="0"/>
      </w:pPr>
      <w:r>
        <w:t>应设立服务台集中受理用户服务请求、故障申告、业务咨询，并跟踪服务请求和故障处理进展，确保服务级别的实现。服务台应具有电话、传真、网站、电子邮箱等多种沟通渠道。</w:t>
      </w:r>
    </w:p>
    <w:p>
      <w:pPr>
        <w:bidi w:val="0"/>
      </w:pPr>
      <w:r>
        <w:t>各单位宜建立由热线(服务台)、一线(运维工程师)、二线(运维专家)、专业机构组成的多级技术支持体系，热线不能解决的问题提交一线；一线负责监控巡检、一般性的问题处理，并配合二线进行复杂问题处置，一线不能处理的问题提交二线；二线负责解决复杂问题，并进行深度的运行状况分析、评估，二线不能解决的问题提交设备生产厂商、软件开发商或第三方服务单位等专业机构。</w:t>
      </w:r>
    </w:p>
    <w:p>
      <w:pPr>
        <w:bidi w:val="0"/>
      </w:pPr>
      <w:bookmarkStart w:id="22" w:name="_Toc1983535819_WPSOffice_Level1"/>
      <w:r>
        <w:t>三、岗位职责</w:t>
      </w:r>
      <w:bookmarkEnd w:id="22"/>
    </w:p>
    <w:p>
      <w:pPr>
        <w:bidi w:val="0"/>
      </w:pPr>
      <w:r>
        <w:t>运行维护服务机构应进行岗位设计，明确运行维护岗位，规定岗位职责，岗位职责规定至少应包括维护对象范围、工作内容及工作要求等。</w:t>
      </w:r>
    </w:p>
    <w:p>
      <w:pPr>
        <w:bidi w:val="0"/>
      </w:pPr>
      <w:r>
        <w:t>根据实际情况，每名运行维护人员可以任职多个岗位，重要岗位应有两人或两人以上任职。</w:t>
      </w:r>
    </w:p>
    <w:p>
      <w:pPr>
        <w:bidi w:val="0"/>
      </w:pPr>
      <w:bookmarkStart w:id="23" w:name="_Toc2133370405_WPSOffice_Level1"/>
      <w:r>
        <w:t>四、技能要求</w:t>
      </w:r>
      <w:bookmarkEnd w:id="23"/>
    </w:p>
    <w:p>
      <w:pPr>
        <w:bidi w:val="0"/>
      </w:pPr>
      <w:r>
        <w:t>运行维护人员应具备信息技术基础知识、运行维护岗位所需的专业知识及信息系统所支撑业务的相关业务知识，宜具有专业技能资质证书。</w:t>
      </w:r>
    </w:p>
    <w:p>
      <w:pPr>
        <w:bidi w:val="0"/>
        <w:rPr>
          <w:rFonts w:hint="default"/>
          <w:lang w:val="en-US" w:eastAsia="zh-CN"/>
        </w:rPr>
      </w:pPr>
      <w:r>
        <w:t>运行维护服务机构应加强人才队伍的建设和培养，定期组织各类培训，运行维护人员每年参加专业技术培训时间宜不少于48学时。</w:t>
      </w: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SimHei">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lang w:val="en-US" w:eastAsia="zh-CN"/>
                            </w:rPr>
                            <w:t>14-</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9"/>
                    </w:pPr>
                    <w:r>
                      <w:rPr>
                        <w:rFonts w:hint="eastAsia"/>
                        <w:lang w:val="en-US" w:eastAsia="zh-CN"/>
                      </w:rPr>
                      <w:t>14-</w:t>
                    </w: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2JjZjdiOTJhNjAyOTFkM2U4OGE3NjI4ODQ3MTgifQ=="/>
  </w:docVars>
  <w:rsids>
    <w:rsidRoot w:val="00000000"/>
    <w:rsid w:val="0B09160F"/>
    <w:rsid w:val="0B7F0123"/>
    <w:rsid w:val="0D431BDA"/>
    <w:rsid w:val="0DC31DBE"/>
    <w:rsid w:val="0EA55FC8"/>
    <w:rsid w:val="13344CA4"/>
    <w:rsid w:val="175E73CA"/>
    <w:rsid w:val="1CA002D9"/>
    <w:rsid w:val="24D35E92"/>
    <w:rsid w:val="266E47E1"/>
    <w:rsid w:val="287C29F4"/>
    <w:rsid w:val="292A10CE"/>
    <w:rsid w:val="29692FA5"/>
    <w:rsid w:val="2F2A280A"/>
    <w:rsid w:val="2F706A52"/>
    <w:rsid w:val="328E572C"/>
    <w:rsid w:val="3582027D"/>
    <w:rsid w:val="410007D4"/>
    <w:rsid w:val="432C01F7"/>
    <w:rsid w:val="454F71C6"/>
    <w:rsid w:val="4D787676"/>
    <w:rsid w:val="536F131E"/>
    <w:rsid w:val="56246FB6"/>
    <w:rsid w:val="5B5D7EBE"/>
    <w:rsid w:val="5DFE6619"/>
    <w:rsid w:val="5FDD3BF0"/>
    <w:rsid w:val="649A4E24"/>
    <w:rsid w:val="6CF25372"/>
    <w:rsid w:val="6DE26FFD"/>
    <w:rsid w:val="6FF30595"/>
    <w:rsid w:val="77CC50AF"/>
    <w:rsid w:val="79A57AA3"/>
    <w:rsid w:val="7A6A78F6"/>
    <w:rsid w:val="7A872AE3"/>
    <w:rsid w:val="7BA905B1"/>
    <w:rsid w:val="7C261A2D"/>
    <w:rsid w:val="7CAB7325"/>
    <w:rsid w:val="7FBF74B3"/>
    <w:rsid w:val="B37D037C"/>
    <w:rsid w:val="DFF7B0FF"/>
    <w:rsid w:val="FEFF948B"/>
    <w:rsid w:val="FFEAB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ind w:firstLine="960" w:firstLineChars="200"/>
      <w:jc w:val="both"/>
    </w:pPr>
    <w:rPr>
      <w:rFonts w:ascii="Times New Roman" w:hAnsi="Times New Roman" w:eastAsia="宋体" w:cs="Times New Roman"/>
      <w:kern w:val="2"/>
      <w:sz w:val="24"/>
      <w:szCs w:val="24"/>
      <w:lang w:val="en-US" w:eastAsia="zh-CN" w:bidi="ar-SA"/>
    </w:rPr>
  </w:style>
  <w:style w:type="paragraph" w:styleId="4">
    <w:name w:val="heading 2"/>
    <w:basedOn w:val="1"/>
    <w:next w:val="1"/>
    <w:unhideWhenUsed/>
    <w:qFormat/>
    <w:uiPriority w:val="0"/>
    <w:pPr>
      <w:keepNext/>
      <w:keepLines/>
      <w:spacing w:beforeLines="0" w:beforeAutospacing="0" w:afterLines="0" w:afterAutospacing="0" w:line="520" w:lineRule="exact"/>
      <w:ind w:firstLine="0" w:firstLineChars="0"/>
      <w:jc w:val="left"/>
      <w:outlineLvl w:val="1"/>
    </w:pPr>
    <w:rPr>
      <w:rFonts w:ascii="Arial" w:hAnsi="Arial" w:eastAsia="黑体"/>
      <w:sz w:val="28"/>
    </w:rPr>
  </w:style>
  <w:style w:type="paragraph" w:styleId="5">
    <w:name w:val="heading 3"/>
    <w:basedOn w:val="1"/>
    <w:next w:val="1"/>
    <w:unhideWhenUsed/>
    <w:qFormat/>
    <w:uiPriority w:val="0"/>
    <w:pPr>
      <w:keepNext/>
      <w:keepLines/>
      <w:spacing w:beforeLines="0" w:beforeAutospacing="0" w:afterLines="0" w:afterAutospacing="0" w:line="360" w:lineRule="auto"/>
      <w:ind w:firstLine="0" w:firstLineChars="0"/>
      <w:jc w:val="left"/>
      <w:outlineLvl w:val="2"/>
    </w:pPr>
    <w:rPr>
      <w:b/>
    </w:rPr>
  </w:style>
  <w:style w:type="paragraph" w:styleId="6">
    <w:name w:val="heading 4"/>
    <w:basedOn w:val="1"/>
    <w:next w:val="1"/>
    <w:link w:val="20"/>
    <w:unhideWhenUsed/>
    <w:qFormat/>
    <w:uiPriority w:val="0"/>
    <w:pPr>
      <w:keepNext/>
      <w:keepLines/>
      <w:spacing w:beforeLines="0" w:beforeAutospacing="0" w:afterLines="0" w:afterAutospacing="0" w:line="360" w:lineRule="auto"/>
      <w:ind w:firstLine="0" w:firstLineChars="0"/>
      <w:jc w:val="left"/>
      <w:outlineLvl w:val="3"/>
    </w:pPr>
    <w:rPr>
      <w:rFonts w:ascii="Times New Roman" w:hAnsi="Times New Roman" w:eastAsia="宋体"/>
      <w:sz w:val="24"/>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rPr>
      <w:rFonts w:ascii="Calibri" w:hAnsi="Calibri" w:eastAsia="宋体" w:cs="Times New Roman"/>
      <w:szCs w:val="22"/>
    </w:rPr>
  </w:style>
  <w:style w:type="paragraph" w:styleId="3">
    <w:name w:val="List"/>
    <w:basedOn w:val="1"/>
    <w:qFormat/>
    <w:uiPriority w:val="0"/>
    <w:pPr>
      <w:ind w:left="200" w:hanging="200" w:hangingChars="200"/>
    </w:pPr>
  </w:style>
  <w:style w:type="paragraph" w:styleId="7">
    <w:name w:val="caption"/>
    <w:basedOn w:val="1"/>
    <w:next w:val="1"/>
    <w:unhideWhenUsed/>
    <w:qFormat/>
    <w:uiPriority w:val="35"/>
    <w:pPr>
      <w:textAlignment w:val="center"/>
    </w:pPr>
    <w:rPr>
      <w:rFonts w:eastAsia="黑体"/>
      <w:sz w:val="21"/>
      <w:szCs w:val="20"/>
    </w:r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正文(小4宋)"/>
    <w:basedOn w:val="1"/>
    <w:qFormat/>
    <w:uiPriority w:val="0"/>
    <w:pPr>
      <w:adjustRightInd/>
      <w:snapToGrid/>
      <w:spacing w:line="520" w:lineRule="exact"/>
      <w:ind w:firstLine="200" w:firstLineChars="200"/>
      <w:jc w:val="both"/>
    </w:pPr>
    <w:rPr>
      <w:rFonts w:ascii="宋体"/>
      <w:szCs w:val="20"/>
    </w:rPr>
  </w:style>
  <w:style w:type="paragraph" w:customStyle="1" w:styleId="18">
    <w:name w:val="正文 首行缩进： 2 字符"/>
    <w:basedOn w:val="1"/>
    <w:qFormat/>
    <w:uiPriority w:val="0"/>
    <w:pPr>
      <w:ind w:firstLine="480" w:firstLineChars="200"/>
      <w:textAlignment w:val="center"/>
    </w:pPr>
    <w:rPr>
      <w:rFonts w:cs="宋体"/>
      <w:szCs w:val="20"/>
      <w:lang w:val="zh-CN"/>
    </w:rPr>
  </w:style>
  <w:style w:type="paragraph" w:styleId="19">
    <w:name w:val="List Paragraph"/>
    <w:basedOn w:val="1"/>
    <w:qFormat/>
    <w:uiPriority w:val="34"/>
    <w:pPr>
      <w:ind w:firstLine="420" w:firstLineChars="200"/>
    </w:pPr>
  </w:style>
  <w:style w:type="character" w:customStyle="1" w:styleId="20">
    <w:name w:val="标题 4 Char"/>
    <w:link w:val="6"/>
    <w:qFormat/>
    <w:uiPriority w:val="0"/>
    <w:rPr>
      <w:rFonts w:ascii="Times New Roman" w:hAnsi="Times New Roman" w:eastAsia="宋体"/>
      <w:sz w:val="24"/>
    </w:rPr>
  </w:style>
  <w:style w:type="paragraph" w:customStyle="1" w:styleId="21">
    <w:name w:val="HCH封面4"/>
    <w:qFormat/>
    <w:uiPriority w:val="0"/>
    <w:pPr>
      <w:widowControl w:val="0"/>
      <w:spacing w:line="360" w:lineRule="auto"/>
      <w:jc w:val="center"/>
    </w:pPr>
    <w:rPr>
      <w:rFonts w:ascii="Times New Roman" w:hAnsi="Times New Roman" w:eastAsia="黑体" w:cs="Times New Roman"/>
      <w:kern w:val="2"/>
      <w:sz w:val="44"/>
      <w:szCs w:val="36"/>
      <w:lang w:val="en-US" w:eastAsia="zh-CN" w:bidi="ar-SA"/>
    </w:rPr>
  </w:style>
  <w:style w:type="paragraph" w:customStyle="1" w:styleId="22">
    <w:name w:val="HCH正文"/>
    <w:qFormat/>
    <w:uiPriority w:val="0"/>
    <w:pPr>
      <w:spacing w:line="500" w:lineRule="exact"/>
      <w:ind w:firstLine="200" w:firstLineChars="200"/>
    </w:pPr>
    <w:rPr>
      <w:rFonts w:ascii="Times New Roman" w:hAnsi="Times New Roman" w:eastAsia="宋体" w:cs="Times New Roman"/>
      <w:kern w:val="2"/>
      <w:sz w:val="24"/>
      <w:szCs w:val="21"/>
      <w:lang w:val="en-US" w:eastAsia="zh-CN" w:bidi="ar-SA"/>
    </w:rPr>
  </w:style>
  <w:style w:type="character" w:customStyle="1" w:styleId="23">
    <w:name w:val="font11"/>
    <w:basedOn w:val="15"/>
    <w:qFormat/>
    <w:uiPriority w:val="0"/>
    <w:rPr>
      <w:rFonts w:hint="default" w:ascii="Times New Roman" w:hAnsi="Times New Roman" w:cs="Times New Roman"/>
      <w:b/>
      <w:color w:val="000000"/>
      <w:sz w:val="22"/>
      <w:szCs w:val="22"/>
      <w:u w:val="none"/>
    </w:rPr>
  </w:style>
  <w:style w:type="character" w:customStyle="1" w:styleId="24">
    <w:name w:val="font31"/>
    <w:basedOn w:val="15"/>
    <w:qFormat/>
    <w:uiPriority w:val="0"/>
    <w:rPr>
      <w:rFonts w:hint="eastAsia" w:ascii="宋体" w:hAnsi="宋体" w:eastAsia="宋体" w:cs="宋体"/>
      <w:b/>
      <w:color w:val="000000"/>
      <w:sz w:val="22"/>
      <w:szCs w:val="22"/>
      <w:u w:val="none"/>
    </w:rPr>
  </w:style>
  <w:style w:type="character" w:customStyle="1" w:styleId="25">
    <w:name w:val="font41"/>
    <w:basedOn w:val="15"/>
    <w:qFormat/>
    <w:uiPriority w:val="0"/>
    <w:rPr>
      <w:rFonts w:hint="default" w:ascii="Times New Roman" w:hAnsi="Times New Roman" w:cs="Times New Roman"/>
      <w:color w:val="000000"/>
      <w:sz w:val="22"/>
      <w:szCs w:val="22"/>
      <w:u w:val="none"/>
    </w:rPr>
  </w:style>
  <w:style w:type="character" w:customStyle="1" w:styleId="26">
    <w:name w:val="font61"/>
    <w:basedOn w:val="15"/>
    <w:qFormat/>
    <w:uiPriority w:val="0"/>
    <w:rPr>
      <w:rFonts w:hint="eastAsia" w:ascii="宋体" w:hAnsi="宋体" w:eastAsia="宋体" w:cs="宋体"/>
      <w:color w:val="000000"/>
      <w:sz w:val="22"/>
      <w:szCs w:val="22"/>
      <w:u w:val="none"/>
    </w:rPr>
  </w:style>
  <w:style w:type="character" w:customStyle="1" w:styleId="27">
    <w:name w:val="font91"/>
    <w:basedOn w:val="15"/>
    <w:qFormat/>
    <w:uiPriority w:val="0"/>
    <w:rPr>
      <w:rFonts w:hint="default" w:ascii="Times New Roman" w:hAnsi="Times New Roman" w:cs="Times New Roman"/>
      <w:color w:val="000000"/>
      <w:sz w:val="21"/>
      <w:szCs w:val="21"/>
      <w:u w:val="none"/>
    </w:rPr>
  </w:style>
  <w:style w:type="character" w:customStyle="1" w:styleId="28">
    <w:name w:val="font101"/>
    <w:basedOn w:val="15"/>
    <w:qFormat/>
    <w:uiPriority w:val="0"/>
    <w:rPr>
      <w:rFonts w:hint="eastAsia" w:ascii="宋体" w:hAnsi="宋体" w:eastAsia="宋体" w:cs="宋体"/>
      <w:color w:val="000000"/>
      <w:sz w:val="21"/>
      <w:szCs w:val="21"/>
      <w:u w:val="none"/>
    </w:rPr>
  </w:style>
  <w:style w:type="paragraph" w:customStyle="1" w:styleId="29">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894e912-8d41-4889-896e-3f49e7ba1c20}"/>
        <w:style w:val=""/>
        <w:category>
          <w:name w:val="常规"/>
          <w:gallery w:val="placeholder"/>
        </w:category>
        <w:types>
          <w:type w:val="bbPlcHdr"/>
        </w:types>
        <w:behaviors>
          <w:behavior w:val="content"/>
        </w:behaviors>
        <w:description w:val=""/>
        <w:guid w:val="{c894e912-8d41-4889-896e-3f49e7ba1c20}"/>
      </w:docPartPr>
      <w:docPartBody>
        <w:p>
          <w:r>
            <w:rPr>
              <w:color w:val="808080"/>
            </w:rPr>
            <w:t>单击此处输入文字。</w:t>
          </w:r>
        </w:p>
      </w:docPartBody>
    </w:docPart>
    <w:docPart>
      <w:docPartPr>
        <w:name w:val="{ba90ce03-8385-4738-998c-906360bf43da}"/>
        <w:style w:val=""/>
        <w:category>
          <w:name w:val="常规"/>
          <w:gallery w:val="placeholder"/>
        </w:category>
        <w:types>
          <w:type w:val="bbPlcHdr"/>
        </w:types>
        <w:behaviors>
          <w:behavior w:val="content"/>
        </w:behaviors>
        <w:description w:val=""/>
        <w:guid w:val="{ba90ce03-8385-4738-998c-906360bf43da}"/>
      </w:docPartPr>
      <w:docPartBody>
        <w:p>
          <w:r>
            <w:rPr>
              <w:color w:val="808080"/>
            </w:rPr>
            <w:t>单击此处输入文字。</w:t>
          </w:r>
        </w:p>
      </w:docPartBody>
    </w:docPart>
    <w:docPart>
      <w:docPartPr>
        <w:name w:val="{cff9e93b-7aca-402f-86ed-7af615583421}"/>
        <w:style w:val=""/>
        <w:category>
          <w:name w:val="常规"/>
          <w:gallery w:val="placeholder"/>
        </w:category>
        <w:types>
          <w:type w:val="bbPlcHdr"/>
        </w:types>
        <w:behaviors>
          <w:behavior w:val="content"/>
        </w:behaviors>
        <w:description w:val=""/>
        <w:guid w:val="{cff9e93b-7aca-402f-86ed-7af615583421}"/>
      </w:docPartPr>
      <w:docPartBody>
        <w:p>
          <w:r>
            <w:rPr>
              <w:color w:val="808080"/>
            </w:rPr>
            <w:t>单击此处输入文字。</w:t>
          </w:r>
        </w:p>
      </w:docPartBody>
    </w:docPart>
    <w:docPart>
      <w:docPartPr>
        <w:name w:val="{84d051e6-3b53-484a-a002-735b5de83d99}"/>
        <w:style w:val=""/>
        <w:category>
          <w:name w:val="常规"/>
          <w:gallery w:val="placeholder"/>
        </w:category>
        <w:types>
          <w:type w:val="bbPlcHdr"/>
        </w:types>
        <w:behaviors>
          <w:behavior w:val="content"/>
        </w:behaviors>
        <w:description w:val=""/>
        <w:guid w:val="{84d051e6-3b53-484a-a002-735b5de83d99}"/>
      </w:docPartPr>
      <w:docPartBody>
        <w:p>
          <w:r>
            <w:rPr>
              <w:color w:val="808080"/>
            </w:rPr>
            <w:t>单击此处输入文字。</w:t>
          </w:r>
        </w:p>
      </w:docPartBody>
    </w:docPart>
    <w:docPart>
      <w:docPartPr>
        <w:name w:val="{ad6a0a6c-8f7f-481b-bd2b-41c6af787b91}"/>
        <w:style w:val=""/>
        <w:category>
          <w:name w:val="常规"/>
          <w:gallery w:val="placeholder"/>
        </w:category>
        <w:types>
          <w:type w:val="bbPlcHdr"/>
        </w:types>
        <w:behaviors>
          <w:behavior w:val="content"/>
        </w:behaviors>
        <w:description w:val=""/>
        <w:guid w:val="{ad6a0a6c-8f7f-481b-bd2b-41c6af787b91}"/>
      </w:docPartPr>
      <w:docPartBody>
        <w:p>
          <w:r>
            <w:rPr>
              <w:color w:val="808080"/>
            </w:rPr>
            <w:t>单击此处输入文字。</w:t>
          </w:r>
        </w:p>
      </w:docPartBody>
    </w:docPart>
    <w:docPart>
      <w:docPartPr>
        <w:name w:val="{b388c898-23cb-4a08-a44b-9843760bcc62}"/>
        <w:style w:val=""/>
        <w:category>
          <w:name w:val="常规"/>
          <w:gallery w:val="placeholder"/>
        </w:category>
        <w:types>
          <w:type w:val="bbPlcHdr"/>
        </w:types>
        <w:behaviors>
          <w:behavior w:val="content"/>
        </w:behaviors>
        <w:description w:val=""/>
        <w:guid w:val="{b388c898-23cb-4a08-a44b-9843760bcc62}"/>
      </w:docPartPr>
      <w:docPartBody>
        <w:p>
          <w:r>
            <w:rPr>
              <w:color w:val="808080"/>
            </w:rPr>
            <w:t>单击此处输入文字。</w:t>
          </w:r>
        </w:p>
      </w:docPartBody>
    </w:docPart>
    <w:docPart>
      <w:docPartPr>
        <w:name w:val="{84341354-301c-4a9b-a22b-72ac09a0d62f}"/>
        <w:style w:val=""/>
        <w:category>
          <w:name w:val="常规"/>
          <w:gallery w:val="placeholder"/>
        </w:category>
        <w:types>
          <w:type w:val="bbPlcHdr"/>
        </w:types>
        <w:behaviors>
          <w:behavior w:val="content"/>
        </w:behaviors>
        <w:description w:val=""/>
        <w:guid w:val="{84341354-301c-4a9b-a22b-72ac09a0d62f}"/>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9287</Words>
  <Characters>10166</Characters>
  <Lines>0</Lines>
  <Paragraphs>0</Paragraphs>
  <TotalTime>0</TotalTime>
  <ScaleCrop>false</ScaleCrop>
  <LinksUpToDate>false</LinksUpToDate>
  <CharactersWithSpaces>10370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2022-04-27T09:19:00Z</dcterms:created>
  <dc:creator>zbh</dc:creator>
  <cp:lastModifiedBy>bhzhao</cp:lastModifiedBy>
  <dcterms:modified xsi:type="dcterms:W3CDTF">2023-04-03T10:15:33Z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CC52F1EC407D40C1B43EC45A5D4999F7</vt:lpwstr>
  </property>
</Properties>
</file>